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A6AEB" w14:textId="77777777" w:rsidR="00A755C1" w:rsidRPr="00A755C1" w:rsidRDefault="00A755C1" w:rsidP="00A755C1">
      <w:pPr>
        <w:spacing w:line="360" w:lineRule="auto"/>
        <w:rPr>
          <w:rFonts w:ascii="Times New Roman" w:eastAsia="宋体" w:hAnsi="Times New Roman" w:cs="Times New Roman"/>
          <w:sz w:val="24"/>
          <w:szCs w:val="20"/>
        </w:rPr>
      </w:pPr>
    </w:p>
    <w:p w14:paraId="71547E01" w14:textId="77777777" w:rsidR="00A755C1" w:rsidRPr="00A755C1" w:rsidRDefault="00A755C1" w:rsidP="00A755C1">
      <w:pPr>
        <w:spacing w:line="360" w:lineRule="auto"/>
        <w:rPr>
          <w:rFonts w:ascii="Times New Roman" w:eastAsia="宋体" w:hAnsi="Times New Roman" w:cs="Times New Roman"/>
          <w:sz w:val="24"/>
          <w:szCs w:val="20"/>
        </w:rPr>
      </w:pPr>
      <w:r w:rsidRPr="00A755C1">
        <w:rPr>
          <w:rFonts w:ascii="Times New Roman" w:eastAsia="宋体" w:hAnsi="Times New Roman" w:cs="Times New Roman"/>
          <w:noProof/>
          <w:sz w:val="24"/>
          <w:szCs w:val="20"/>
        </w:rPr>
        <w:drawing>
          <wp:inline distT="0" distB="0" distL="0" distR="0" wp14:anchorId="3D07BD65" wp14:editId="6CF9A23B">
            <wp:extent cx="5274310" cy="1214755"/>
            <wp:effectExtent l="0" t="0" r="25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年校庆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214755"/>
                    </a:xfrm>
                    <a:prstGeom prst="rect">
                      <a:avLst/>
                    </a:prstGeom>
                  </pic:spPr>
                </pic:pic>
              </a:graphicData>
            </a:graphic>
          </wp:inline>
        </w:drawing>
      </w:r>
    </w:p>
    <w:p w14:paraId="5172D4E3" w14:textId="77777777" w:rsidR="00A755C1" w:rsidRPr="00A755C1" w:rsidRDefault="00A755C1" w:rsidP="00A755C1">
      <w:pPr>
        <w:spacing w:line="360" w:lineRule="auto"/>
        <w:rPr>
          <w:rFonts w:ascii="Times New Roman" w:eastAsia="宋体" w:hAnsi="Times New Roman" w:cs="Times New Roman"/>
          <w:sz w:val="24"/>
          <w:szCs w:val="20"/>
        </w:rPr>
      </w:pPr>
    </w:p>
    <w:p w14:paraId="3D5DF14A" w14:textId="77777777" w:rsidR="00A755C1" w:rsidRPr="00A755C1" w:rsidRDefault="00A755C1" w:rsidP="00A755C1">
      <w:pPr>
        <w:spacing w:line="360" w:lineRule="auto"/>
        <w:rPr>
          <w:rFonts w:ascii="Times New Roman" w:eastAsia="宋体" w:hAnsi="Times New Roman" w:cs="Times New Roman"/>
          <w:sz w:val="24"/>
          <w:szCs w:val="20"/>
        </w:rPr>
      </w:pPr>
    </w:p>
    <w:p w14:paraId="57FE8224" w14:textId="77777777" w:rsidR="00A755C1" w:rsidRPr="00A755C1" w:rsidRDefault="00A755C1" w:rsidP="00A755C1">
      <w:pPr>
        <w:spacing w:line="360" w:lineRule="auto"/>
        <w:rPr>
          <w:rFonts w:ascii="Times New Roman" w:eastAsia="宋体" w:hAnsi="Times New Roman" w:cs="Times New Roman"/>
          <w:sz w:val="24"/>
          <w:szCs w:val="20"/>
        </w:rPr>
      </w:pPr>
    </w:p>
    <w:p w14:paraId="23B83FAE" w14:textId="7B361D47" w:rsidR="00A755C1" w:rsidRPr="00A755C1" w:rsidRDefault="0079490A" w:rsidP="0079490A">
      <w:pPr>
        <w:adjustRightInd w:val="0"/>
        <w:snapToGrid w:val="0"/>
        <w:spacing w:line="264" w:lineRule="auto"/>
        <w:jc w:val="center"/>
        <w:rPr>
          <w:rFonts w:ascii="Times New Roman" w:eastAsia="华文中宋" w:hAnsi="Times New Roman" w:cs="Times New Roman"/>
          <w:b/>
          <w:bCs/>
          <w:spacing w:val="12"/>
          <w:sz w:val="52"/>
          <w:szCs w:val="32"/>
        </w:rPr>
      </w:pPr>
      <w:r w:rsidRPr="0079490A">
        <w:rPr>
          <w:rFonts w:ascii="楷体" w:eastAsia="楷体" w:hAnsi="楷体" w:cs="Times New Roman" w:hint="eastAsia"/>
          <w:b/>
          <w:bCs/>
          <w:spacing w:val="20"/>
          <w:sz w:val="52"/>
          <w:szCs w:val="52"/>
        </w:rPr>
        <w:t>基于深度学习的基因表达数据肿瘤类型分析</w:t>
      </w:r>
    </w:p>
    <w:p w14:paraId="6E6FB42D" w14:textId="77777777" w:rsidR="00A755C1" w:rsidRPr="00A755C1" w:rsidRDefault="00A755C1" w:rsidP="00A755C1">
      <w:pPr>
        <w:adjustRightInd w:val="0"/>
        <w:snapToGrid w:val="0"/>
        <w:spacing w:line="264" w:lineRule="auto"/>
        <w:rPr>
          <w:rFonts w:ascii="楷体_GB2312" w:eastAsia="楷体_GB2312" w:hAnsi="Times New Roman" w:cs="Times New Roman"/>
          <w:bCs/>
          <w:sz w:val="32"/>
          <w:szCs w:val="32"/>
        </w:rPr>
      </w:pPr>
    </w:p>
    <w:p w14:paraId="4E600481" w14:textId="77777777" w:rsidR="00A755C1" w:rsidRPr="00A755C1" w:rsidRDefault="00A755C1" w:rsidP="00A755C1">
      <w:pPr>
        <w:adjustRightInd w:val="0"/>
        <w:snapToGrid w:val="0"/>
        <w:spacing w:line="264" w:lineRule="auto"/>
        <w:rPr>
          <w:rFonts w:ascii="Times New Roman" w:eastAsia="华文中宋" w:hAnsi="Times New Roman" w:cs="Times New Roman"/>
          <w:b/>
          <w:bCs/>
          <w:spacing w:val="12"/>
          <w:sz w:val="52"/>
          <w:szCs w:val="32"/>
        </w:rPr>
      </w:pPr>
    </w:p>
    <w:tbl>
      <w:tblPr>
        <w:tblW w:w="5670" w:type="dxa"/>
        <w:jc w:val="center"/>
        <w:tblLayout w:type="fixed"/>
        <w:tblLook w:val="04A0" w:firstRow="1" w:lastRow="0" w:firstColumn="1" w:lastColumn="0" w:noHBand="0" w:noVBand="1"/>
      </w:tblPr>
      <w:tblGrid>
        <w:gridCol w:w="1418"/>
        <w:gridCol w:w="4252"/>
      </w:tblGrid>
      <w:tr w:rsidR="00A755C1" w:rsidRPr="00A755C1" w14:paraId="414642D4" w14:textId="77777777" w:rsidTr="00CF57A1">
        <w:trPr>
          <w:trHeight w:val="674"/>
          <w:jc w:val="center"/>
        </w:trPr>
        <w:tc>
          <w:tcPr>
            <w:tcW w:w="1418" w:type="dxa"/>
            <w:shd w:val="clear" w:color="auto" w:fill="auto"/>
            <w:vAlign w:val="bottom"/>
          </w:tcPr>
          <w:p w14:paraId="5499A0E7" w14:textId="77777777" w:rsidR="00A755C1" w:rsidRPr="00A755C1" w:rsidRDefault="00A755C1" w:rsidP="00A755C1">
            <w:pPr>
              <w:adjustRightInd w:val="0"/>
              <w:snapToGrid w:val="0"/>
              <w:jc w:val="distribute"/>
              <w:rPr>
                <w:rFonts w:ascii="黑体" w:eastAsia="黑体" w:hAnsi="黑体" w:cs="黑体"/>
                <w:b/>
                <w:bCs/>
                <w:spacing w:val="12"/>
                <w:sz w:val="52"/>
                <w:szCs w:val="32"/>
              </w:rPr>
            </w:pPr>
            <w:r w:rsidRPr="00A755C1">
              <w:rPr>
                <w:rFonts w:ascii="黑体" w:eastAsia="黑体" w:hAnsi="黑体" w:cs="黑体" w:hint="eastAsia"/>
                <w:kern w:val="0"/>
                <w:sz w:val="28"/>
                <w:szCs w:val="28"/>
              </w:rPr>
              <w:t>学院</w:t>
            </w:r>
          </w:p>
        </w:tc>
        <w:tc>
          <w:tcPr>
            <w:tcW w:w="4252" w:type="dxa"/>
            <w:tcBorders>
              <w:bottom w:val="single" w:sz="4" w:space="0" w:color="auto"/>
            </w:tcBorders>
            <w:shd w:val="clear" w:color="auto" w:fill="auto"/>
            <w:vAlign w:val="bottom"/>
          </w:tcPr>
          <w:p w14:paraId="24BEA82B" w14:textId="77777777" w:rsidR="00A755C1" w:rsidRPr="00A755C1" w:rsidRDefault="00A755C1" w:rsidP="00A755C1">
            <w:pPr>
              <w:adjustRightInd w:val="0"/>
              <w:snapToGrid w:val="0"/>
              <w:jc w:val="center"/>
              <w:rPr>
                <w:rFonts w:ascii="楷体" w:eastAsia="楷体" w:hAnsi="楷体" w:cs="黑体"/>
                <w:b/>
                <w:bCs/>
                <w:spacing w:val="12"/>
                <w:sz w:val="52"/>
                <w:szCs w:val="32"/>
              </w:rPr>
            </w:pPr>
            <w:r w:rsidRPr="00A755C1">
              <w:rPr>
                <w:rFonts w:ascii="楷体" w:eastAsia="楷体" w:hAnsi="楷体" w:cs="黑体" w:hint="eastAsia"/>
                <w:bCs/>
                <w:spacing w:val="12"/>
                <w:sz w:val="28"/>
                <w:szCs w:val="28"/>
              </w:rPr>
              <w:t>计算机科学与技术学院</w:t>
            </w:r>
          </w:p>
        </w:tc>
      </w:tr>
      <w:tr w:rsidR="00A755C1" w:rsidRPr="00A755C1" w14:paraId="03D57FE5" w14:textId="77777777" w:rsidTr="00CF57A1">
        <w:trPr>
          <w:trHeight w:val="674"/>
          <w:jc w:val="center"/>
        </w:trPr>
        <w:tc>
          <w:tcPr>
            <w:tcW w:w="1418" w:type="dxa"/>
            <w:shd w:val="clear" w:color="auto" w:fill="auto"/>
            <w:vAlign w:val="bottom"/>
          </w:tcPr>
          <w:p w14:paraId="3F7E8440" w14:textId="77777777" w:rsidR="00A755C1" w:rsidRPr="00A755C1" w:rsidRDefault="00A755C1" w:rsidP="00A755C1">
            <w:pPr>
              <w:adjustRightInd w:val="0"/>
              <w:snapToGrid w:val="0"/>
              <w:jc w:val="distribute"/>
              <w:rPr>
                <w:rFonts w:ascii="黑体" w:eastAsia="黑体" w:hAnsi="黑体" w:cs="黑体"/>
                <w:b/>
                <w:bCs/>
                <w:spacing w:val="12"/>
                <w:sz w:val="52"/>
                <w:szCs w:val="32"/>
              </w:rPr>
            </w:pPr>
            <w:r w:rsidRPr="00A755C1">
              <w:rPr>
                <w:rFonts w:ascii="黑体" w:eastAsia="黑体" w:hAnsi="黑体" w:cs="黑体" w:hint="eastAsia"/>
                <w:kern w:val="0"/>
                <w:sz w:val="28"/>
                <w:szCs w:val="28"/>
              </w:rPr>
              <w:t>专业</w:t>
            </w:r>
          </w:p>
        </w:tc>
        <w:tc>
          <w:tcPr>
            <w:tcW w:w="4252" w:type="dxa"/>
            <w:tcBorders>
              <w:top w:val="single" w:sz="4" w:space="0" w:color="auto"/>
              <w:bottom w:val="single" w:sz="4" w:space="0" w:color="auto"/>
            </w:tcBorders>
            <w:shd w:val="clear" w:color="auto" w:fill="auto"/>
            <w:vAlign w:val="bottom"/>
          </w:tcPr>
          <w:p w14:paraId="73A45ECB" w14:textId="0B915207" w:rsidR="00A755C1" w:rsidRPr="00A755C1" w:rsidRDefault="00A755C1" w:rsidP="00A755C1">
            <w:pPr>
              <w:adjustRightInd w:val="0"/>
              <w:snapToGrid w:val="0"/>
              <w:jc w:val="center"/>
              <w:rPr>
                <w:rFonts w:ascii="楷体" w:eastAsia="楷体" w:hAnsi="楷体" w:cs="黑体"/>
                <w:bCs/>
                <w:spacing w:val="12"/>
                <w:sz w:val="28"/>
                <w:szCs w:val="28"/>
              </w:rPr>
            </w:pPr>
            <w:r w:rsidRPr="00A755C1">
              <w:rPr>
                <w:rFonts w:ascii="楷体" w:eastAsia="楷体" w:hAnsi="楷体" w:cs="黑体" w:hint="eastAsia"/>
                <w:bCs/>
                <w:spacing w:val="12"/>
                <w:sz w:val="28"/>
                <w:szCs w:val="28"/>
              </w:rPr>
              <w:t>计算</w:t>
            </w:r>
            <w:r>
              <w:rPr>
                <w:rFonts w:ascii="楷体" w:eastAsia="楷体" w:hAnsi="楷体" w:cs="黑体" w:hint="eastAsia"/>
                <w:bCs/>
                <w:spacing w:val="12"/>
                <w:sz w:val="28"/>
                <w:szCs w:val="28"/>
              </w:rPr>
              <w:t>机</w:t>
            </w:r>
            <w:r w:rsidRPr="00A755C1">
              <w:rPr>
                <w:rFonts w:ascii="楷体" w:eastAsia="楷体" w:hAnsi="楷体" w:cs="黑体" w:hint="eastAsia"/>
                <w:bCs/>
                <w:spacing w:val="12"/>
                <w:sz w:val="28"/>
                <w:szCs w:val="28"/>
              </w:rPr>
              <w:t>技术</w:t>
            </w:r>
          </w:p>
        </w:tc>
      </w:tr>
      <w:tr w:rsidR="00A755C1" w:rsidRPr="00A755C1" w14:paraId="345D4043" w14:textId="77777777" w:rsidTr="00CF57A1">
        <w:trPr>
          <w:trHeight w:val="674"/>
          <w:jc w:val="center"/>
        </w:trPr>
        <w:tc>
          <w:tcPr>
            <w:tcW w:w="1418" w:type="dxa"/>
            <w:shd w:val="clear" w:color="auto" w:fill="auto"/>
            <w:vAlign w:val="bottom"/>
          </w:tcPr>
          <w:p w14:paraId="30982845" w14:textId="77777777" w:rsidR="00A755C1" w:rsidRPr="00A755C1" w:rsidRDefault="00A755C1" w:rsidP="00A755C1">
            <w:pPr>
              <w:adjustRightInd w:val="0"/>
              <w:snapToGrid w:val="0"/>
              <w:jc w:val="distribute"/>
              <w:rPr>
                <w:rFonts w:ascii="黑体" w:eastAsia="黑体" w:hAnsi="黑体" w:cs="黑体"/>
                <w:b/>
                <w:bCs/>
                <w:spacing w:val="12"/>
                <w:sz w:val="52"/>
                <w:szCs w:val="32"/>
              </w:rPr>
            </w:pPr>
            <w:r w:rsidRPr="00A755C1">
              <w:rPr>
                <w:rFonts w:ascii="黑体" w:eastAsia="黑体" w:hAnsi="黑体" w:cs="黑体" w:hint="eastAsia"/>
                <w:kern w:val="0"/>
                <w:sz w:val="28"/>
                <w:szCs w:val="28"/>
              </w:rPr>
              <w:t>姓名</w:t>
            </w:r>
          </w:p>
        </w:tc>
        <w:tc>
          <w:tcPr>
            <w:tcW w:w="4252" w:type="dxa"/>
            <w:tcBorders>
              <w:top w:val="single" w:sz="4" w:space="0" w:color="auto"/>
              <w:bottom w:val="single" w:sz="4" w:space="0" w:color="auto"/>
            </w:tcBorders>
            <w:shd w:val="clear" w:color="auto" w:fill="auto"/>
            <w:vAlign w:val="bottom"/>
          </w:tcPr>
          <w:p w14:paraId="584D9BC2" w14:textId="6B665AB6" w:rsidR="00A755C1" w:rsidRPr="00A755C1" w:rsidRDefault="00A755C1" w:rsidP="00A755C1">
            <w:pPr>
              <w:adjustRightInd w:val="0"/>
              <w:snapToGrid w:val="0"/>
              <w:jc w:val="center"/>
              <w:rPr>
                <w:rFonts w:ascii="楷体" w:eastAsia="楷体" w:hAnsi="楷体" w:cs="黑体"/>
                <w:bCs/>
                <w:spacing w:val="12"/>
                <w:sz w:val="28"/>
                <w:szCs w:val="28"/>
              </w:rPr>
            </w:pPr>
            <w:proofErr w:type="gramStart"/>
            <w:r>
              <w:rPr>
                <w:rFonts w:ascii="楷体" w:eastAsia="楷体" w:hAnsi="楷体" w:cs="黑体" w:hint="eastAsia"/>
                <w:bCs/>
                <w:spacing w:val="12"/>
                <w:sz w:val="28"/>
                <w:szCs w:val="28"/>
              </w:rPr>
              <w:t>李振雷</w:t>
            </w:r>
            <w:proofErr w:type="gramEnd"/>
          </w:p>
        </w:tc>
      </w:tr>
      <w:tr w:rsidR="00A755C1" w:rsidRPr="00A755C1" w14:paraId="3BC659A4" w14:textId="77777777" w:rsidTr="00CF57A1">
        <w:trPr>
          <w:trHeight w:val="674"/>
          <w:jc w:val="center"/>
        </w:trPr>
        <w:tc>
          <w:tcPr>
            <w:tcW w:w="1418" w:type="dxa"/>
            <w:shd w:val="clear" w:color="auto" w:fill="auto"/>
            <w:vAlign w:val="bottom"/>
          </w:tcPr>
          <w:p w14:paraId="78771B8F" w14:textId="77777777" w:rsidR="00A755C1" w:rsidRPr="00A755C1" w:rsidRDefault="00A755C1" w:rsidP="00A755C1">
            <w:pPr>
              <w:adjustRightInd w:val="0"/>
              <w:snapToGrid w:val="0"/>
              <w:jc w:val="distribute"/>
              <w:rPr>
                <w:rFonts w:ascii="黑体" w:eastAsia="黑体" w:hAnsi="黑体" w:cs="黑体"/>
                <w:b/>
                <w:bCs/>
                <w:spacing w:val="12"/>
                <w:sz w:val="52"/>
                <w:szCs w:val="32"/>
              </w:rPr>
            </w:pPr>
            <w:r w:rsidRPr="00A755C1">
              <w:rPr>
                <w:rFonts w:ascii="黑体" w:eastAsia="黑体" w:hAnsi="黑体" w:cs="黑体" w:hint="eastAsia"/>
                <w:kern w:val="0"/>
                <w:sz w:val="28"/>
                <w:szCs w:val="28"/>
              </w:rPr>
              <w:t>学号</w:t>
            </w:r>
          </w:p>
        </w:tc>
        <w:tc>
          <w:tcPr>
            <w:tcW w:w="4252" w:type="dxa"/>
            <w:tcBorders>
              <w:top w:val="single" w:sz="4" w:space="0" w:color="auto"/>
              <w:bottom w:val="single" w:sz="4" w:space="0" w:color="auto"/>
            </w:tcBorders>
            <w:shd w:val="clear" w:color="auto" w:fill="auto"/>
            <w:vAlign w:val="bottom"/>
          </w:tcPr>
          <w:p w14:paraId="0C693942" w14:textId="6DEB5D92" w:rsidR="00A755C1" w:rsidRPr="00A755C1" w:rsidRDefault="00A755C1" w:rsidP="00A755C1">
            <w:pPr>
              <w:adjustRightInd w:val="0"/>
              <w:snapToGrid w:val="0"/>
              <w:jc w:val="center"/>
              <w:rPr>
                <w:rFonts w:ascii="Times New Roman" w:eastAsia="楷体" w:hAnsi="Times New Roman" w:cs="Times New Roman"/>
                <w:bCs/>
                <w:spacing w:val="12"/>
                <w:sz w:val="28"/>
                <w:szCs w:val="28"/>
              </w:rPr>
            </w:pPr>
            <w:r>
              <w:rPr>
                <w:rFonts w:ascii="Times New Roman" w:eastAsia="楷体" w:hAnsi="Times New Roman" w:cs="Times New Roman" w:hint="eastAsia"/>
                <w:bCs/>
                <w:spacing w:val="12"/>
                <w:sz w:val="28"/>
                <w:szCs w:val="28"/>
              </w:rPr>
              <w:t>SA</w:t>
            </w:r>
            <w:r>
              <w:rPr>
                <w:rFonts w:ascii="Times New Roman" w:eastAsia="楷体" w:hAnsi="Times New Roman" w:cs="Times New Roman"/>
                <w:bCs/>
                <w:spacing w:val="12"/>
                <w:sz w:val="28"/>
                <w:szCs w:val="28"/>
              </w:rPr>
              <w:t>19011150</w:t>
            </w:r>
          </w:p>
        </w:tc>
      </w:tr>
    </w:tbl>
    <w:p w14:paraId="4369B90D" w14:textId="77777777" w:rsidR="00A755C1" w:rsidRPr="00A755C1" w:rsidRDefault="00A755C1" w:rsidP="00A755C1">
      <w:pPr>
        <w:spacing w:line="360" w:lineRule="auto"/>
        <w:rPr>
          <w:rFonts w:ascii="Times New Roman" w:eastAsia="宋体" w:hAnsi="Times New Roman" w:cs="Times New Roman"/>
          <w:sz w:val="24"/>
          <w:szCs w:val="20"/>
        </w:rPr>
      </w:pPr>
    </w:p>
    <w:p w14:paraId="49ED04B5" w14:textId="77777777" w:rsidR="00A755C1" w:rsidRPr="00A755C1" w:rsidRDefault="00A755C1" w:rsidP="00A755C1">
      <w:pPr>
        <w:spacing w:line="360" w:lineRule="auto"/>
        <w:rPr>
          <w:rFonts w:ascii="Times New Roman" w:eastAsia="宋体" w:hAnsi="Times New Roman" w:cs="Times New Roman"/>
          <w:sz w:val="24"/>
          <w:szCs w:val="20"/>
        </w:rPr>
      </w:pPr>
    </w:p>
    <w:p w14:paraId="24DA7D8E" w14:textId="77777777" w:rsidR="00A755C1" w:rsidRPr="00A755C1" w:rsidRDefault="00A755C1" w:rsidP="00A755C1">
      <w:pPr>
        <w:spacing w:line="360" w:lineRule="auto"/>
        <w:rPr>
          <w:rFonts w:ascii="Times New Roman" w:eastAsia="宋体" w:hAnsi="Times New Roman" w:cs="Times New Roman"/>
          <w:sz w:val="24"/>
          <w:szCs w:val="20"/>
        </w:rPr>
      </w:pPr>
    </w:p>
    <w:p w14:paraId="6D0F7657" w14:textId="77777777" w:rsidR="00A755C1" w:rsidRPr="00A755C1" w:rsidRDefault="00A755C1" w:rsidP="00A755C1">
      <w:pPr>
        <w:spacing w:line="360" w:lineRule="auto"/>
        <w:rPr>
          <w:rFonts w:ascii="Times New Roman" w:eastAsia="宋体" w:hAnsi="Times New Roman" w:cs="Times New Roman"/>
          <w:sz w:val="24"/>
          <w:szCs w:val="20"/>
        </w:rPr>
      </w:pPr>
    </w:p>
    <w:p w14:paraId="053BEBEF" w14:textId="77777777" w:rsidR="00A755C1" w:rsidRPr="00A755C1" w:rsidRDefault="00A755C1" w:rsidP="00A755C1">
      <w:pPr>
        <w:spacing w:line="360" w:lineRule="auto"/>
        <w:rPr>
          <w:rFonts w:ascii="Times New Roman" w:eastAsia="宋体" w:hAnsi="Times New Roman" w:cs="Times New Roman"/>
          <w:sz w:val="24"/>
          <w:szCs w:val="20"/>
        </w:rPr>
      </w:pPr>
    </w:p>
    <w:p w14:paraId="66D6DAE8" w14:textId="77777777" w:rsidR="00A755C1" w:rsidRPr="00A755C1" w:rsidRDefault="00A755C1" w:rsidP="00A755C1">
      <w:pPr>
        <w:spacing w:line="360" w:lineRule="auto"/>
        <w:rPr>
          <w:rFonts w:ascii="Times New Roman" w:eastAsia="宋体" w:hAnsi="Times New Roman" w:cs="Times New Roman"/>
          <w:sz w:val="24"/>
          <w:szCs w:val="20"/>
        </w:rPr>
      </w:pPr>
    </w:p>
    <w:p w14:paraId="0BB60D06" w14:textId="621E4CBC" w:rsidR="0079490A" w:rsidRDefault="0079490A" w:rsidP="00A755C1">
      <w:pPr>
        <w:ind w:firstLineChars="900" w:firstLine="2160"/>
        <w:rPr>
          <w:rFonts w:ascii="Times New Roman" w:eastAsia="宋体" w:hAnsi="Times New Roman" w:cs="Times New Roman"/>
          <w:sz w:val="24"/>
          <w:szCs w:val="20"/>
        </w:rPr>
      </w:pPr>
    </w:p>
    <w:p w14:paraId="3F72B2EC" w14:textId="77777777" w:rsidR="0079490A" w:rsidRDefault="0079490A" w:rsidP="00A755C1">
      <w:pPr>
        <w:ind w:firstLineChars="900" w:firstLine="2880"/>
        <w:rPr>
          <w:rFonts w:ascii="黑体" w:eastAsia="黑体" w:hAnsi="黑体" w:cs="Times New Roman"/>
          <w:sz w:val="32"/>
          <w:szCs w:val="20"/>
        </w:rPr>
      </w:pPr>
    </w:p>
    <w:p w14:paraId="67947F94" w14:textId="2E46CD6B" w:rsidR="00725088" w:rsidRDefault="00A755C1" w:rsidP="0079490A">
      <w:pPr>
        <w:ind w:firstLineChars="900" w:firstLine="2880"/>
        <w:rPr>
          <w:rFonts w:ascii="黑体" w:eastAsia="黑体" w:hAnsi="黑体" w:cs="Times New Roman"/>
          <w:sz w:val="32"/>
          <w:szCs w:val="20"/>
        </w:rPr>
      </w:pPr>
      <w:r w:rsidRPr="00A755C1">
        <w:rPr>
          <w:rFonts w:ascii="黑体" w:eastAsia="黑体" w:hAnsi="黑体" w:cs="Times New Roman"/>
          <w:sz w:val="32"/>
          <w:szCs w:val="20"/>
        </w:rPr>
        <w:t>201</w:t>
      </w:r>
      <w:r w:rsidRPr="00A755C1">
        <w:rPr>
          <w:rFonts w:ascii="黑体" w:eastAsia="黑体" w:hAnsi="黑体" w:cs="Times New Roman" w:hint="eastAsia"/>
          <w:sz w:val="32"/>
          <w:szCs w:val="20"/>
        </w:rPr>
        <w:t>9</w:t>
      </w:r>
      <w:r w:rsidRPr="00A755C1">
        <w:rPr>
          <w:rFonts w:ascii="黑体" w:eastAsia="黑体" w:hAnsi="黑体" w:cs="Times New Roman"/>
          <w:sz w:val="32"/>
          <w:szCs w:val="20"/>
        </w:rPr>
        <w:t>年</w:t>
      </w:r>
      <w:r>
        <w:rPr>
          <w:rFonts w:ascii="黑体" w:eastAsia="黑体" w:hAnsi="黑体" w:cs="Times New Roman"/>
          <w:sz w:val="32"/>
          <w:szCs w:val="20"/>
        </w:rPr>
        <w:t>1</w:t>
      </w:r>
      <w:r w:rsidR="0079490A">
        <w:rPr>
          <w:rFonts w:ascii="黑体" w:eastAsia="黑体" w:hAnsi="黑体" w:cs="Times New Roman" w:hint="eastAsia"/>
          <w:sz w:val="32"/>
          <w:szCs w:val="20"/>
        </w:rPr>
        <w:t>2</w:t>
      </w:r>
      <w:r w:rsidRPr="00A755C1">
        <w:rPr>
          <w:rFonts w:ascii="黑体" w:eastAsia="黑体" w:hAnsi="黑体" w:cs="Times New Roman"/>
          <w:sz w:val="32"/>
          <w:szCs w:val="20"/>
        </w:rPr>
        <w:t>月</w:t>
      </w:r>
      <w:r>
        <w:rPr>
          <w:rFonts w:ascii="黑体" w:eastAsia="黑体" w:hAnsi="黑体" w:cs="Times New Roman"/>
          <w:sz w:val="32"/>
          <w:szCs w:val="20"/>
        </w:rPr>
        <w:t>12</w:t>
      </w:r>
      <w:r w:rsidRPr="00A755C1">
        <w:rPr>
          <w:rFonts w:ascii="黑体" w:eastAsia="黑体" w:hAnsi="黑体" w:cs="Times New Roman"/>
          <w:sz w:val="32"/>
          <w:szCs w:val="20"/>
        </w:rPr>
        <w:t>日</w:t>
      </w:r>
    </w:p>
    <w:p w14:paraId="3FCB7773" w14:textId="20903CDF" w:rsidR="008D3AA3" w:rsidRPr="00183E21" w:rsidRDefault="0079490A" w:rsidP="0079490A">
      <w:pPr>
        <w:pStyle w:val="1"/>
      </w:pPr>
      <w:r>
        <w:rPr>
          <w:rFonts w:hint="eastAsia"/>
        </w:rPr>
        <w:lastRenderedPageBreak/>
        <w:t>一、概述</w:t>
      </w:r>
    </w:p>
    <w:p w14:paraId="651C161C" w14:textId="2BF34385" w:rsidR="00725088" w:rsidRDefault="0079490A" w:rsidP="0079490A">
      <w:pPr>
        <w:ind w:firstLineChars="200" w:firstLine="480"/>
        <w:rPr>
          <w:rFonts w:ascii="宋体" w:eastAsia="宋体" w:hAnsi="宋体"/>
          <w:sz w:val="24"/>
          <w:szCs w:val="24"/>
        </w:rPr>
      </w:pPr>
      <w:r w:rsidRPr="0079490A">
        <w:rPr>
          <w:rFonts w:ascii="宋体" w:eastAsia="宋体" w:hAnsi="宋体" w:hint="eastAsia"/>
          <w:sz w:val="24"/>
          <w:szCs w:val="24"/>
        </w:rPr>
        <w:t>在癌细胞起源这个主题的述评论文中</w:t>
      </w:r>
      <w:r w:rsidRPr="0079490A">
        <w:rPr>
          <w:rFonts w:ascii="宋体" w:eastAsia="宋体" w:hAnsi="宋体"/>
          <w:sz w:val="24"/>
          <w:szCs w:val="24"/>
        </w:rPr>
        <w:t>Hoadley提出了这样一个问题：“癌症可以根据分子标记而不是细胞/组织来源进行分类和治疗吗？”</w:t>
      </w:r>
      <w:r>
        <w:rPr>
          <w:rFonts w:ascii="宋体" w:eastAsia="宋体" w:hAnsi="宋体" w:hint="eastAsia"/>
          <w:sz w:val="24"/>
          <w:szCs w:val="24"/>
        </w:rPr>
        <w:t>。</w:t>
      </w:r>
      <w:r w:rsidRPr="0079490A">
        <w:rPr>
          <w:rFonts w:ascii="宋体" w:eastAsia="宋体" w:hAnsi="宋体" w:hint="eastAsia"/>
          <w:sz w:val="24"/>
          <w:szCs w:val="24"/>
        </w:rPr>
        <w:t>这是一个能够颠覆当今癌症治疗的革命性问题。</w:t>
      </w:r>
      <w:r>
        <w:rPr>
          <w:rFonts w:ascii="宋体" w:eastAsia="宋体" w:hAnsi="宋体" w:hint="eastAsia"/>
          <w:sz w:val="24"/>
          <w:szCs w:val="24"/>
        </w:rPr>
        <w:t>目前医学界制定癌症治疗方案时所依据的策略主要是根据不同部位的癌症特征进行治疗。这个问题的提出意味着</w:t>
      </w:r>
      <w:r w:rsidRPr="0079490A">
        <w:rPr>
          <w:rFonts w:ascii="宋体" w:eastAsia="宋体" w:hAnsi="宋体" w:hint="eastAsia"/>
          <w:sz w:val="24"/>
          <w:szCs w:val="24"/>
        </w:rPr>
        <w:t>医学界制定癌症治疗策略时不会再依据肺癌、肝癌、胃癌等制定治疗指南，而将代之以癌症特定的分子特征来制定治疗策略，即呆在不同部位的肿瘤可以使用同样的疗法，而呆在同一部位的肿瘤则可能使用不同的治疗方法。比如都是乳腺癌患者，但三阴乳腺癌就需要不同的治疗方式。（三阴乳腺癌特指雌激素受体（</w:t>
      </w:r>
      <w:r w:rsidRPr="0079490A">
        <w:rPr>
          <w:rFonts w:ascii="宋体" w:eastAsia="宋体" w:hAnsi="宋体"/>
          <w:sz w:val="24"/>
          <w:szCs w:val="24"/>
        </w:rPr>
        <w:t>ER）、孕激素受体（PR）及人表皮生长因子受体2（HER-2）均阴性的乳腺癌患者。）</w:t>
      </w:r>
    </w:p>
    <w:p w14:paraId="2E720B87" w14:textId="747426D9" w:rsidR="0079490A" w:rsidRPr="00183E21" w:rsidRDefault="0079490A" w:rsidP="0079490A">
      <w:pPr>
        <w:ind w:firstLineChars="200" w:firstLine="480"/>
        <w:rPr>
          <w:rFonts w:ascii="宋体" w:eastAsia="宋体" w:hAnsi="宋体"/>
          <w:sz w:val="24"/>
          <w:szCs w:val="24"/>
        </w:rPr>
      </w:pPr>
      <w:r>
        <w:rPr>
          <w:rFonts w:ascii="宋体" w:eastAsia="宋体" w:hAnsi="宋体" w:hint="eastAsia"/>
          <w:sz w:val="24"/>
          <w:szCs w:val="24"/>
        </w:rPr>
        <w:t>本文将通过分析基因表达数据来判断癌症类型，进而分析每种癌症类型的候选分子标记。该研究对上述问题无疑具有重大意义。本文将以以下四个部分进行对这一研究进行叙述：（1）</w:t>
      </w:r>
      <w:r w:rsidRPr="0079490A">
        <w:rPr>
          <w:rFonts w:ascii="宋体" w:eastAsia="宋体" w:hAnsi="宋体"/>
          <w:sz w:val="24"/>
          <w:szCs w:val="24"/>
        </w:rPr>
        <w:t>TCGA泛癌症图谱介绍</w:t>
      </w:r>
      <w:r>
        <w:rPr>
          <w:rFonts w:ascii="宋体" w:eastAsia="宋体" w:hAnsi="宋体" w:hint="eastAsia"/>
          <w:sz w:val="24"/>
          <w:szCs w:val="24"/>
        </w:rPr>
        <w:t>。（2）</w:t>
      </w:r>
      <w:r w:rsidRPr="0079490A">
        <w:rPr>
          <w:rFonts w:ascii="宋体" w:eastAsia="宋体" w:hAnsi="宋体"/>
          <w:sz w:val="24"/>
          <w:szCs w:val="24"/>
        </w:rPr>
        <w:t>VAE数据增强</w:t>
      </w:r>
      <w:r>
        <w:rPr>
          <w:rFonts w:ascii="宋体" w:eastAsia="宋体" w:hAnsi="宋体" w:hint="eastAsia"/>
          <w:sz w:val="24"/>
          <w:szCs w:val="24"/>
        </w:rPr>
        <w:t>。（3）</w:t>
      </w:r>
      <w:r w:rsidR="00205E32" w:rsidRPr="00205E32">
        <w:rPr>
          <w:rFonts w:ascii="宋体" w:eastAsia="宋体" w:hAnsi="宋体" w:hint="eastAsia"/>
          <w:sz w:val="24"/>
          <w:szCs w:val="24"/>
        </w:rPr>
        <w:t>深度神经网络分类</w:t>
      </w:r>
      <w:r w:rsidR="00205E32">
        <w:rPr>
          <w:rFonts w:ascii="宋体" w:eastAsia="宋体" w:hAnsi="宋体" w:hint="eastAsia"/>
          <w:sz w:val="24"/>
          <w:szCs w:val="24"/>
        </w:rPr>
        <w:t>。（4）Heat</w:t>
      </w:r>
      <w:r w:rsidR="00205E32">
        <w:rPr>
          <w:rFonts w:ascii="宋体" w:eastAsia="宋体" w:hAnsi="宋体"/>
          <w:sz w:val="24"/>
          <w:szCs w:val="24"/>
        </w:rPr>
        <w:t xml:space="preserve"> Map</w:t>
      </w:r>
      <w:r w:rsidR="00205E32">
        <w:rPr>
          <w:rFonts w:ascii="宋体" w:eastAsia="宋体" w:hAnsi="宋体" w:hint="eastAsia"/>
          <w:sz w:val="24"/>
          <w:szCs w:val="24"/>
        </w:rPr>
        <w:t>图谱分析。</w:t>
      </w:r>
    </w:p>
    <w:p w14:paraId="78B77F76" w14:textId="46370995" w:rsidR="00183E21" w:rsidRPr="00205E32" w:rsidRDefault="00205E32" w:rsidP="00205E32">
      <w:pPr>
        <w:pStyle w:val="1"/>
      </w:pPr>
      <w:r w:rsidRPr="00205E32">
        <w:rPr>
          <w:rFonts w:hint="eastAsia"/>
        </w:rPr>
        <w:t>二</w:t>
      </w:r>
      <w:r w:rsidR="00875B31" w:rsidRPr="00205E32">
        <w:rPr>
          <w:rFonts w:hint="eastAsia"/>
        </w:rPr>
        <w:t>、</w:t>
      </w:r>
      <w:r w:rsidRPr="00205E32">
        <w:t>TCGA泛癌症图谱介绍</w:t>
      </w:r>
    </w:p>
    <w:p w14:paraId="7734DE4D" w14:textId="77777777" w:rsidR="00205E32" w:rsidRDefault="00205E32" w:rsidP="00205E32">
      <w:pPr>
        <w:ind w:firstLine="420"/>
        <w:rPr>
          <w:rFonts w:ascii="宋体" w:eastAsia="宋体" w:hAnsi="宋体"/>
          <w:sz w:val="24"/>
          <w:szCs w:val="24"/>
        </w:rPr>
      </w:pPr>
      <w:r w:rsidRPr="00205E32">
        <w:rPr>
          <w:rFonts w:ascii="宋体" w:eastAsia="宋体" w:hAnsi="宋体"/>
          <w:sz w:val="24"/>
          <w:szCs w:val="24"/>
        </w:rPr>
        <w:t>TCGA是美国国家癌症研究所(National Cancer Institute)和美</w:t>
      </w:r>
      <w:proofErr w:type="gramStart"/>
      <w:r w:rsidRPr="00205E32">
        <w:rPr>
          <w:rFonts w:ascii="宋体" w:eastAsia="宋体" w:hAnsi="宋体"/>
          <w:sz w:val="24"/>
          <w:szCs w:val="24"/>
        </w:rPr>
        <w:t>国人类</w:t>
      </w:r>
      <w:proofErr w:type="gramEnd"/>
      <w:r w:rsidRPr="00205E32">
        <w:rPr>
          <w:rFonts w:ascii="宋体" w:eastAsia="宋体" w:hAnsi="宋体"/>
          <w:sz w:val="24"/>
          <w:szCs w:val="24"/>
        </w:rPr>
        <w:t>基因组研究所(National Human Genome Research Institute)共同监督的一个项目，旨在应用高通量的基因组分析技术，以帮助人们对癌症有个更好的认知，从而提高对于癌症的预防、诊断和治疗能力。</w:t>
      </w:r>
    </w:p>
    <w:p w14:paraId="68C7C558" w14:textId="2A1DD0D5" w:rsidR="00183E21" w:rsidRDefault="00205E32" w:rsidP="00205E32">
      <w:pPr>
        <w:ind w:firstLine="420"/>
        <w:rPr>
          <w:rFonts w:ascii="宋体" w:eastAsia="宋体" w:hAnsi="宋体"/>
          <w:sz w:val="24"/>
          <w:szCs w:val="24"/>
        </w:rPr>
      </w:pPr>
      <w:r w:rsidRPr="00205E32">
        <w:rPr>
          <w:rFonts w:ascii="宋体" w:eastAsia="宋体" w:hAnsi="宋体"/>
          <w:sz w:val="24"/>
          <w:szCs w:val="24"/>
        </w:rPr>
        <w:t>作为目前最大的癌症基因信息数据库，TCGA的全面不仅仅体现在</w:t>
      </w:r>
      <w:proofErr w:type="gramStart"/>
      <w:r w:rsidRPr="00205E32">
        <w:rPr>
          <w:rFonts w:ascii="宋体" w:eastAsia="宋体" w:hAnsi="宋体"/>
          <w:sz w:val="24"/>
          <w:szCs w:val="24"/>
        </w:rPr>
        <w:t>众多癌型上</w:t>
      </w:r>
      <w:proofErr w:type="gramEnd"/>
      <w:r w:rsidRPr="00205E32">
        <w:rPr>
          <w:rFonts w:ascii="宋体" w:eastAsia="宋体" w:hAnsi="宋体"/>
          <w:sz w:val="24"/>
          <w:szCs w:val="24"/>
        </w:rPr>
        <w:t>，还体现在多组学数据，包括基因表达数据、miRNA表达数据、拷贝数变异、DNA甲基化、SNP，而相对于GEO数据库，TCGA最大的优势是丰富</w:t>
      </w:r>
      <w:proofErr w:type="gramStart"/>
      <w:r w:rsidRPr="00205E32">
        <w:rPr>
          <w:rFonts w:ascii="宋体" w:eastAsia="宋体" w:hAnsi="宋体"/>
          <w:sz w:val="24"/>
          <w:szCs w:val="24"/>
        </w:rPr>
        <w:t>且规范</w:t>
      </w:r>
      <w:proofErr w:type="gramEnd"/>
      <w:r w:rsidRPr="00205E32">
        <w:rPr>
          <w:rFonts w:ascii="宋体" w:eastAsia="宋体" w:hAnsi="宋体"/>
          <w:sz w:val="24"/>
          <w:szCs w:val="24"/>
        </w:rPr>
        <w:t>的临床数据。</w:t>
      </w:r>
    </w:p>
    <w:p w14:paraId="4BCAB5A6" w14:textId="0A3AEA7E" w:rsidR="003A23A1" w:rsidRPr="003A23A1" w:rsidRDefault="003A23A1" w:rsidP="003A23A1">
      <w:pPr>
        <w:ind w:firstLine="420"/>
        <w:rPr>
          <w:rFonts w:ascii="宋体" w:eastAsia="宋体" w:hAnsi="宋体"/>
          <w:sz w:val="24"/>
          <w:szCs w:val="24"/>
        </w:rPr>
      </w:pPr>
      <w:r>
        <w:rPr>
          <w:rFonts w:ascii="宋体" w:eastAsia="宋体" w:hAnsi="宋体" w:hint="eastAsia"/>
          <w:sz w:val="24"/>
          <w:szCs w:val="24"/>
        </w:rPr>
        <w:t>自从建立以来，</w:t>
      </w:r>
      <w:r w:rsidRPr="003A23A1">
        <w:rPr>
          <w:rFonts w:ascii="宋体" w:eastAsia="宋体" w:hAnsi="宋体" w:hint="eastAsia"/>
          <w:sz w:val="24"/>
          <w:szCs w:val="24"/>
        </w:rPr>
        <w:t>从</w:t>
      </w:r>
      <w:r w:rsidRPr="003A23A1">
        <w:rPr>
          <w:rFonts w:ascii="宋体" w:eastAsia="宋体" w:hAnsi="宋体"/>
          <w:sz w:val="24"/>
          <w:szCs w:val="24"/>
        </w:rPr>
        <w:t>2006年开始的为期三年的试点项目专注于三种人类癌症的表征：多形性胶质母细胞瘤，肺癌和卵巢癌。在2009年，它扩展到了第二阶段，该阶段计划在2014年前完成20-25种不同肿瘤类型的基因组表征和序列分析。TCGA超越了这一目标，表征了33种癌症类型，包括10种罕见癌症。资金分配给执行测序的基因组表征中心（GCC）和进行生物信息学分析的基因组数据分析中心（GDAC）。</w:t>
      </w:r>
    </w:p>
    <w:p w14:paraId="273F7B39" w14:textId="1142A471" w:rsidR="00205E32" w:rsidRDefault="003A23A1" w:rsidP="003A23A1">
      <w:pPr>
        <w:ind w:firstLine="420"/>
        <w:rPr>
          <w:rFonts w:ascii="宋体" w:eastAsia="宋体" w:hAnsi="宋体"/>
          <w:sz w:val="24"/>
          <w:szCs w:val="24"/>
        </w:rPr>
      </w:pPr>
      <w:r w:rsidRPr="003A23A1">
        <w:rPr>
          <w:rFonts w:ascii="宋体" w:eastAsia="宋体" w:hAnsi="宋体" w:hint="eastAsia"/>
          <w:sz w:val="24"/>
          <w:szCs w:val="24"/>
        </w:rPr>
        <w:t>该项目安排了</w:t>
      </w:r>
      <w:r w:rsidRPr="003A23A1">
        <w:rPr>
          <w:rFonts w:ascii="宋体" w:eastAsia="宋体" w:hAnsi="宋体"/>
          <w:sz w:val="24"/>
          <w:szCs w:val="24"/>
        </w:rPr>
        <w:t>500个患者样本，这比大多数基因组学研究都要多，并且使用了不同的技术来分析患者样本。技术包括基因表达分析，拷贝数变异分析，SNP基因分型，全基因组DNA甲基化分析，microRNA分析以及至少1,200个基因的外显子 测序。TCGA正在对某些肿瘤的整个基因组进行测序，包括至少6,000个候选基因和microRNA序列。所有三个测序中心都使用混合捕获技术进行有针对性的测序。在第二阶段，TCGA对项目中使用的100％的病例进行了完整的外显子组和完整的</w:t>
      </w:r>
      <w:proofErr w:type="gramStart"/>
      <w:r w:rsidRPr="003A23A1">
        <w:rPr>
          <w:rFonts w:ascii="宋体" w:eastAsia="宋体" w:hAnsi="宋体"/>
          <w:sz w:val="24"/>
          <w:szCs w:val="24"/>
        </w:rPr>
        <w:t>转录组</w:t>
      </w:r>
      <w:proofErr w:type="gramEnd"/>
      <w:r w:rsidRPr="003A23A1">
        <w:rPr>
          <w:rFonts w:ascii="宋体" w:eastAsia="宋体" w:hAnsi="宋体"/>
          <w:sz w:val="24"/>
          <w:szCs w:val="24"/>
        </w:rPr>
        <w:t>测序，对10％的病例进行了全基因组测序。</w:t>
      </w:r>
    </w:p>
    <w:p w14:paraId="44AB2D29" w14:textId="59CB0920" w:rsidR="003A23A1" w:rsidRDefault="003A23A1" w:rsidP="003A23A1">
      <w:pPr>
        <w:ind w:firstLine="420"/>
        <w:rPr>
          <w:rFonts w:ascii="宋体" w:eastAsia="宋体" w:hAnsi="宋体"/>
          <w:sz w:val="24"/>
          <w:szCs w:val="24"/>
        </w:rPr>
      </w:pPr>
      <w:r>
        <w:rPr>
          <w:rFonts w:ascii="宋体" w:eastAsia="宋体" w:hAnsi="宋体" w:hint="eastAsia"/>
          <w:sz w:val="24"/>
          <w:szCs w:val="24"/>
        </w:rPr>
        <w:t>下图是TCGA数据库入口</w:t>
      </w:r>
      <w:r w:rsidR="00AE6D7F">
        <w:rPr>
          <w:rFonts w:ascii="宋体" w:eastAsia="宋体" w:hAnsi="宋体" w:hint="eastAsia"/>
          <w:sz w:val="24"/>
          <w:szCs w:val="24"/>
        </w:rPr>
        <w:t>信息页面：</w:t>
      </w:r>
    </w:p>
    <w:p w14:paraId="5D2A07B9" w14:textId="7C8B2528" w:rsidR="00AE6D7F" w:rsidRDefault="00AE6D7F" w:rsidP="00AE6D7F">
      <w:pPr>
        <w:rPr>
          <w:rFonts w:ascii="宋体" w:eastAsia="宋体" w:hAnsi="宋体"/>
          <w:sz w:val="24"/>
          <w:szCs w:val="24"/>
        </w:rPr>
      </w:pPr>
      <w:r>
        <w:rPr>
          <w:rFonts w:ascii="宋体" w:eastAsia="宋体" w:hAnsi="宋体"/>
          <w:noProof/>
          <w:sz w:val="24"/>
          <w:szCs w:val="24"/>
        </w:rPr>
        <w:drawing>
          <wp:inline distT="0" distB="0" distL="0" distR="0" wp14:anchorId="1F07DF95" wp14:editId="57E0622E">
            <wp:extent cx="5241621" cy="1827054"/>
            <wp:effectExtent l="0" t="0" r="0"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53718" cy="1866127"/>
                    </a:xfrm>
                    <a:prstGeom prst="rect">
                      <a:avLst/>
                    </a:prstGeom>
                    <a:noFill/>
                  </pic:spPr>
                </pic:pic>
              </a:graphicData>
            </a:graphic>
          </wp:inline>
        </w:drawing>
      </w:r>
    </w:p>
    <w:p w14:paraId="011D762E" w14:textId="1E4DD9C8" w:rsidR="00AE6D7F" w:rsidRDefault="00AE6D7F" w:rsidP="00AE6D7F">
      <w:pPr>
        <w:jc w:val="center"/>
        <w:rPr>
          <w:rFonts w:ascii="宋体" w:eastAsia="宋体" w:hAnsi="宋体"/>
          <w:sz w:val="24"/>
          <w:szCs w:val="24"/>
        </w:rPr>
      </w:pPr>
      <w:r>
        <w:rPr>
          <w:rFonts w:ascii="宋体" w:eastAsia="宋体" w:hAnsi="宋体" w:hint="eastAsia"/>
          <w:sz w:val="24"/>
          <w:szCs w:val="24"/>
        </w:rPr>
        <w:t>图一 TCGA入口信息页</w:t>
      </w:r>
    </w:p>
    <w:p w14:paraId="2068E40C" w14:textId="77777777" w:rsidR="00AE6D7F" w:rsidRDefault="00AE6D7F" w:rsidP="00AE6D7F">
      <w:pPr>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这些数据共分为三个等级，分别是：</w:t>
      </w:r>
    </w:p>
    <w:p w14:paraId="4B3F82BE" w14:textId="730173D4" w:rsidR="00AE6D7F" w:rsidRPr="00AE6D7F" w:rsidRDefault="00AE6D7F" w:rsidP="00AE6D7F">
      <w:pPr>
        <w:rPr>
          <w:rFonts w:ascii="宋体" w:eastAsia="宋体" w:hAnsi="宋体"/>
          <w:sz w:val="24"/>
          <w:szCs w:val="24"/>
        </w:rPr>
      </w:pPr>
      <w:r w:rsidRPr="00AE6D7F">
        <w:rPr>
          <w:rFonts w:ascii="宋体" w:eastAsia="宋体" w:hAnsi="宋体"/>
          <w:sz w:val="24"/>
          <w:szCs w:val="24"/>
        </w:rPr>
        <w:t>level-1: 原始的测序数据(</w:t>
      </w:r>
      <w:proofErr w:type="spellStart"/>
      <w:r w:rsidRPr="00AE6D7F">
        <w:rPr>
          <w:rFonts w:ascii="宋体" w:eastAsia="宋体" w:hAnsi="宋体"/>
          <w:sz w:val="24"/>
          <w:szCs w:val="24"/>
        </w:rPr>
        <w:t>fasta,fastq</w:t>
      </w:r>
      <w:proofErr w:type="spellEnd"/>
      <w:r w:rsidRPr="00AE6D7F">
        <w:rPr>
          <w:rFonts w:ascii="宋体" w:eastAsia="宋体" w:hAnsi="宋体"/>
          <w:sz w:val="24"/>
          <w:szCs w:val="24"/>
        </w:rPr>
        <w:t>等)</w:t>
      </w:r>
    </w:p>
    <w:p w14:paraId="1480E5F0" w14:textId="19C57332" w:rsidR="00AE6D7F" w:rsidRPr="00AE6D7F" w:rsidRDefault="00AE6D7F" w:rsidP="00AE6D7F">
      <w:pPr>
        <w:rPr>
          <w:rFonts w:ascii="宋体" w:eastAsia="宋体" w:hAnsi="宋体"/>
          <w:sz w:val="24"/>
          <w:szCs w:val="24"/>
        </w:rPr>
      </w:pPr>
      <w:r w:rsidRPr="00AE6D7F">
        <w:rPr>
          <w:rFonts w:ascii="宋体" w:eastAsia="宋体" w:hAnsi="宋体"/>
          <w:sz w:val="24"/>
          <w:szCs w:val="24"/>
        </w:rPr>
        <w:t>level-2:比对好的bam文件</w:t>
      </w:r>
    </w:p>
    <w:p w14:paraId="279B2D48" w14:textId="46E0FD49" w:rsidR="00AE6D7F" w:rsidRDefault="00AE6D7F" w:rsidP="00AE6D7F">
      <w:pPr>
        <w:rPr>
          <w:rFonts w:ascii="宋体" w:eastAsia="宋体" w:hAnsi="宋体"/>
          <w:sz w:val="24"/>
          <w:szCs w:val="24"/>
        </w:rPr>
      </w:pPr>
      <w:r w:rsidRPr="00AE6D7F">
        <w:rPr>
          <w:rFonts w:ascii="宋体" w:eastAsia="宋体" w:hAnsi="宋体"/>
          <w:sz w:val="24"/>
          <w:szCs w:val="24"/>
        </w:rPr>
        <w:t>level-3:为经过处理及标准化的数据</w:t>
      </w:r>
    </w:p>
    <w:p w14:paraId="1351FE51" w14:textId="44139774" w:rsidR="00AE6D7F" w:rsidRPr="00AE6D7F" w:rsidRDefault="00AE6D7F" w:rsidP="00AE6D7F">
      <w:pPr>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sidRPr="00AE6D7F">
        <w:rPr>
          <w:rFonts w:ascii="宋体" w:eastAsia="宋体" w:hAnsi="宋体"/>
          <w:sz w:val="24"/>
          <w:szCs w:val="24"/>
        </w:rPr>
        <w:t xml:space="preserve">  泛癌症图谱(Pan-Cancer Atlas)大型研究项目，源于2012年在加利福尼亚州的圣克鲁兹召开的一次国际癌症医学会议，此次会议发起了一项被称为泛癌症图谱研究计划的大型合作，研究者们希望从一个新的角度来研究癌症。泛癌症图谱(Pan-Cancer Atlas)的研究分了三个主题（癌细胞起源、致癌过程和信号通路），涉及33种肿瘤，11,000多个肿瘤样本。</w:t>
      </w:r>
    </w:p>
    <w:p w14:paraId="4061B53B" w14:textId="0C32410C" w:rsidR="00AE6D7F" w:rsidRDefault="00AE6D7F" w:rsidP="00AE6D7F">
      <w:pPr>
        <w:ind w:firstLine="480"/>
        <w:rPr>
          <w:rFonts w:ascii="宋体" w:eastAsia="宋体" w:hAnsi="宋体"/>
          <w:sz w:val="24"/>
          <w:szCs w:val="24"/>
        </w:rPr>
      </w:pPr>
      <w:r w:rsidRPr="00AE6D7F">
        <w:rPr>
          <w:rFonts w:ascii="宋体" w:eastAsia="宋体" w:hAnsi="宋体"/>
          <w:sz w:val="24"/>
          <w:szCs w:val="24"/>
        </w:rPr>
        <w:t>本文的作者所用数据</w:t>
      </w:r>
      <w:proofErr w:type="gramStart"/>
      <w:r w:rsidRPr="00AE6D7F">
        <w:rPr>
          <w:rFonts w:ascii="宋体" w:eastAsia="宋体" w:hAnsi="宋体"/>
          <w:sz w:val="24"/>
          <w:szCs w:val="24"/>
        </w:rPr>
        <w:t>集正是泛</w:t>
      </w:r>
      <w:proofErr w:type="gramEnd"/>
      <w:r w:rsidRPr="00AE6D7F">
        <w:rPr>
          <w:rFonts w:ascii="宋体" w:eastAsia="宋体" w:hAnsi="宋体"/>
          <w:sz w:val="24"/>
          <w:szCs w:val="24"/>
        </w:rPr>
        <w:t>癌症图谱项目里的第三级别的RNA序列基因表达数据。该数据集</w:t>
      </w:r>
      <w:r>
        <w:rPr>
          <w:rFonts w:ascii="宋体" w:eastAsia="宋体" w:hAnsi="宋体" w:hint="eastAsia"/>
          <w:sz w:val="24"/>
          <w:szCs w:val="24"/>
        </w:rPr>
        <w:t>共</w:t>
      </w:r>
      <w:r w:rsidRPr="00AE6D7F">
        <w:rPr>
          <w:rFonts w:ascii="宋体" w:eastAsia="宋体" w:hAnsi="宋体"/>
          <w:sz w:val="24"/>
          <w:szCs w:val="24"/>
        </w:rPr>
        <w:t>包含33种癌症类型共10447个样本，每个样本大概有20k+种基因表达量。通过对这些数据进行训练分类来寻找导致相应癌症的分子标记。</w:t>
      </w:r>
      <w:r>
        <w:rPr>
          <w:rFonts w:ascii="宋体" w:eastAsia="宋体" w:hAnsi="宋体" w:hint="eastAsia"/>
          <w:sz w:val="24"/>
          <w:szCs w:val="24"/>
        </w:rPr>
        <w:t>下图是数据集的样本数统计：</w:t>
      </w:r>
    </w:p>
    <w:p w14:paraId="73AE990B" w14:textId="35ED470C" w:rsidR="00AE6D7F" w:rsidRDefault="00AE6D7F" w:rsidP="00AE6D7F">
      <w:pPr>
        <w:jc w:val="center"/>
        <w:rPr>
          <w:rFonts w:ascii="宋体" w:eastAsia="宋体" w:hAnsi="宋体"/>
          <w:sz w:val="24"/>
          <w:szCs w:val="24"/>
        </w:rPr>
      </w:pPr>
      <w:r>
        <w:rPr>
          <w:rFonts w:ascii="宋体" w:eastAsia="宋体" w:hAnsi="宋体"/>
          <w:noProof/>
          <w:sz w:val="24"/>
          <w:szCs w:val="24"/>
        </w:rPr>
        <w:drawing>
          <wp:inline distT="0" distB="0" distL="0" distR="0" wp14:anchorId="427DD242" wp14:editId="0176642A">
            <wp:extent cx="4517136" cy="3728799"/>
            <wp:effectExtent l="0" t="0" r="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6414" cy="3794241"/>
                    </a:xfrm>
                    <a:prstGeom prst="rect">
                      <a:avLst/>
                    </a:prstGeom>
                    <a:noFill/>
                  </pic:spPr>
                </pic:pic>
              </a:graphicData>
            </a:graphic>
          </wp:inline>
        </w:drawing>
      </w:r>
    </w:p>
    <w:p w14:paraId="6ACB5C24" w14:textId="0A93D635" w:rsidR="00AE6D7F" w:rsidRPr="00205E32" w:rsidRDefault="00AE6D7F" w:rsidP="00AE6D7F">
      <w:pPr>
        <w:jc w:val="center"/>
        <w:rPr>
          <w:rFonts w:ascii="宋体" w:eastAsia="宋体" w:hAnsi="宋体"/>
          <w:sz w:val="24"/>
          <w:szCs w:val="24"/>
        </w:rPr>
      </w:pPr>
      <w:r>
        <w:rPr>
          <w:rFonts w:ascii="宋体" w:eastAsia="宋体" w:hAnsi="宋体" w:hint="eastAsia"/>
          <w:sz w:val="24"/>
          <w:szCs w:val="24"/>
        </w:rPr>
        <w:t>图二、泛癌症RNA序列样本统计</w:t>
      </w:r>
    </w:p>
    <w:p w14:paraId="3532E444" w14:textId="08385EB0" w:rsidR="00875B31" w:rsidRDefault="00875B31" w:rsidP="00875B31">
      <w:pPr>
        <w:pStyle w:val="1"/>
        <w:rPr>
          <w:rFonts w:ascii="宋体" w:eastAsia="宋体" w:hAnsi="宋体"/>
        </w:rPr>
      </w:pPr>
      <w:r w:rsidRPr="00875B31">
        <w:rPr>
          <w:rFonts w:ascii="宋体" w:eastAsia="宋体" w:hAnsi="宋体" w:hint="eastAsia"/>
        </w:rPr>
        <w:t>二、</w:t>
      </w:r>
      <w:r w:rsidR="00877907" w:rsidRPr="00877907">
        <w:rPr>
          <w:rFonts w:ascii="宋体" w:eastAsia="宋体" w:hAnsi="宋体"/>
        </w:rPr>
        <w:t>VAE数据增强</w:t>
      </w:r>
    </w:p>
    <w:p w14:paraId="638DE3AA" w14:textId="78410D82" w:rsidR="00A603D0" w:rsidRDefault="00877907" w:rsidP="00A603D0">
      <w:pPr>
        <w:ind w:firstLine="420"/>
        <w:rPr>
          <w:rFonts w:ascii="宋体" w:eastAsia="宋体" w:hAnsi="宋体"/>
          <w:sz w:val="24"/>
          <w:szCs w:val="24"/>
        </w:rPr>
      </w:pPr>
      <w:r w:rsidRPr="00877907">
        <w:rPr>
          <w:rFonts w:ascii="宋体" w:eastAsia="宋体" w:hAnsi="宋体" w:hint="eastAsia"/>
          <w:sz w:val="24"/>
          <w:szCs w:val="24"/>
        </w:rPr>
        <w:t>变分自编码器（</w:t>
      </w:r>
      <w:r w:rsidRPr="00877907">
        <w:rPr>
          <w:rFonts w:ascii="宋体" w:eastAsia="宋体" w:hAnsi="宋体"/>
          <w:sz w:val="24"/>
          <w:szCs w:val="24"/>
        </w:rPr>
        <w:t xml:space="preserve">Variational Auto-Encoders，VAE）作为深度生成模型的一种形式，是由 </w:t>
      </w:r>
      <w:proofErr w:type="spellStart"/>
      <w:r w:rsidRPr="00877907">
        <w:rPr>
          <w:rFonts w:ascii="宋体" w:eastAsia="宋体" w:hAnsi="宋体"/>
          <w:sz w:val="24"/>
          <w:szCs w:val="24"/>
        </w:rPr>
        <w:t>Kingma</w:t>
      </w:r>
      <w:proofErr w:type="spellEnd"/>
      <w:r w:rsidRPr="00877907">
        <w:rPr>
          <w:rFonts w:ascii="宋体" w:eastAsia="宋体" w:hAnsi="宋体"/>
          <w:sz w:val="24"/>
          <w:szCs w:val="24"/>
        </w:rPr>
        <w:t xml:space="preserve"> 等人于 2014 年提出的基于变分贝叶斯（Variational Bayes，VB）推断的生成式网络结构。与传统的自编码器通过数值的方式描述潜在空间不同，它以概率的方式描述对潜在空间的观察，在数据生成方面表现出了巨大的应用价值。VAE一经提出就迅速获得了深度生成模型领域广泛的关注，并和生成对抗网络（Generative Adversarial Networks，GAN）被视为无监督式学习</w:t>
      </w:r>
      <w:r w:rsidRPr="00877907">
        <w:rPr>
          <w:rFonts w:ascii="宋体" w:eastAsia="宋体" w:hAnsi="宋体" w:hint="eastAsia"/>
          <w:sz w:val="24"/>
          <w:szCs w:val="24"/>
        </w:rPr>
        <w:t>领域最具研究价值的方法之一，在深度生成模型领域得到越来越多的应用。</w:t>
      </w:r>
    </w:p>
    <w:p w14:paraId="6CF1EF91" w14:textId="63B7C997" w:rsidR="007D032B" w:rsidRDefault="00877907" w:rsidP="00877907">
      <w:pPr>
        <w:ind w:firstLine="420"/>
        <w:rPr>
          <w:rFonts w:ascii="宋体" w:eastAsia="宋体" w:hAnsi="宋体"/>
          <w:sz w:val="24"/>
          <w:szCs w:val="24"/>
        </w:rPr>
      </w:pPr>
      <w:r w:rsidRPr="00877907">
        <w:rPr>
          <w:rFonts w:ascii="宋体" w:eastAsia="宋体" w:hAnsi="宋体" w:hint="eastAsia"/>
          <w:sz w:val="24"/>
          <w:szCs w:val="24"/>
        </w:rPr>
        <w:t>传统的自编码器模型主要由两部分构成：编码器（</w:t>
      </w:r>
      <w:r w:rsidRPr="00877907">
        <w:rPr>
          <w:rFonts w:ascii="宋体" w:eastAsia="宋体" w:hAnsi="宋体"/>
          <w:sz w:val="24"/>
          <w:szCs w:val="24"/>
        </w:rPr>
        <w:t>encoder）和解码器（decoder）。如下图</w:t>
      </w:r>
      <w:r>
        <w:rPr>
          <w:rFonts w:ascii="宋体" w:eastAsia="宋体" w:hAnsi="宋体" w:hint="eastAsia"/>
          <w:sz w:val="24"/>
          <w:szCs w:val="24"/>
        </w:rPr>
        <w:t>三</w:t>
      </w:r>
      <w:r w:rsidRPr="00877907">
        <w:rPr>
          <w:rFonts w:ascii="宋体" w:eastAsia="宋体" w:hAnsi="宋体"/>
          <w:sz w:val="24"/>
          <w:szCs w:val="24"/>
        </w:rPr>
        <w:t>所示：</w:t>
      </w:r>
    </w:p>
    <w:p w14:paraId="1CBD94D4" w14:textId="02458811" w:rsidR="00877907" w:rsidRDefault="00877907" w:rsidP="00877907">
      <w:pPr>
        <w:ind w:firstLine="420"/>
        <w:jc w:val="center"/>
        <w:rPr>
          <w:rFonts w:ascii="宋体" w:eastAsia="宋体" w:hAnsi="宋体"/>
          <w:sz w:val="24"/>
          <w:szCs w:val="24"/>
        </w:rPr>
      </w:pPr>
      <w:r>
        <w:rPr>
          <w:rFonts w:ascii="宋体" w:eastAsia="宋体" w:hAnsi="宋体"/>
          <w:noProof/>
          <w:sz w:val="24"/>
          <w:szCs w:val="24"/>
        </w:rPr>
        <w:drawing>
          <wp:inline distT="0" distB="0" distL="0" distR="0" wp14:anchorId="5686318A" wp14:editId="2D487F68">
            <wp:extent cx="3194685" cy="2346960"/>
            <wp:effectExtent l="0" t="0" r="571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4685" cy="2346960"/>
                    </a:xfrm>
                    <a:prstGeom prst="rect">
                      <a:avLst/>
                    </a:prstGeom>
                    <a:noFill/>
                  </pic:spPr>
                </pic:pic>
              </a:graphicData>
            </a:graphic>
          </wp:inline>
        </w:drawing>
      </w:r>
    </w:p>
    <w:p w14:paraId="10A8CD71" w14:textId="36E40431" w:rsidR="00877907" w:rsidRDefault="00877907" w:rsidP="00877907">
      <w:pPr>
        <w:ind w:firstLine="420"/>
        <w:jc w:val="center"/>
        <w:rPr>
          <w:rFonts w:ascii="宋体" w:eastAsia="宋体" w:hAnsi="宋体"/>
          <w:sz w:val="24"/>
          <w:szCs w:val="24"/>
        </w:rPr>
      </w:pPr>
      <w:r>
        <w:rPr>
          <w:rFonts w:ascii="宋体" w:eastAsia="宋体" w:hAnsi="宋体" w:hint="eastAsia"/>
          <w:sz w:val="24"/>
          <w:szCs w:val="24"/>
        </w:rPr>
        <w:t>图三、传统A</w:t>
      </w:r>
      <w:r>
        <w:rPr>
          <w:rFonts w:ascii="宋体" w:eastAsia="宋体" w:hAnsi="宋体"/>
          <w:sz w:val="24"/>
          <w:szCs w:val="24"/>
        </w:rPr>
        <w:t>utoencoder</w:t>
      </w:r>
    </w:p>
    <w:p w14:paraId="6481ACC2" w14:textId="43438F15" w:rsidR="00877907" w:rsidRDefault="00877907" w:rsidP="00877907">
      <w:r>
        <w:rPr>
          <w:rFonts w:hint="eastAsia"/>
        </w:rPr>
        <w:t xml:space="preserve"> </w:t>
      </w:r>
      <w:r>
        <w:t xml:space="preserve"> </w:t>
      </w:r>
      <w:r w:rsidRPr="00877907">
        <w:rPr>
          <w:rFonts w:hint="eastAsia"/>
        </w:rPr>
        <w:t>与自动编码器由编码器与解码器两部分构成相似，</w:t>
      </w:r>
      <w:r w:rsidRPr="00877907">
        <w:t>VAE利用两个神经网络建立两个概率密度分布模型：一个用于原始输入数据的变分推断，生成</w:t>
      </w:r>
      <w:proofErr w:type="gramStart"/>
      <w:r w:rsidRPr="00877907">
        <w:t>隐</w:t>
      </w:r>
      <w:proofErr w:type="gramEnd"/>
      <w:r w:rsidRPr="00877907">
        <w:t>变量的变分概率分布，称为推断网络；另一个根据生成的隐变量变分概率分布，还原生成原始数据的近似概率分布，称为生成网络</w:t>
      </w:r>
      <w:r>
        <w:rPr>
          <w:rFonts w:hint="eastAsia"/>
        </w:rPr>
        <w:t>。</w:t>
      </w:r>
      <w:r w:rsidRPr="00877907">
        <w:rPr>
          <w:rFonts w:hint="eastAsia"/>
        </w:rPr>
        <w:t>变分自编码器具体结构</w:t>
      </w:r>
      <w:r>
        <w:rPr>
          <w:rFonts w:hint="eastAsia"/>
        </w:rPr>
        <w:t>如下图四所示：</w:t>
      </w:r>
    </w:p>
    <w:p w14:paraId="11D4E19D" w14:textId="7CA2B35F" w:rsidR="00877907" w:rsidRDefault="00877907" w:rsidP="00877907">
      <w:pPr>
        <w:jc w:val="center"/>
      </w:pPr>
      <w:r>
        <w:rPr>
          <w:noProof/>
        </w:rPr>
        <w:drawing>
          <wp:inline distT="0" distB="0" distL="0" distR="0" wp14:anchorId="2DD5F076" wp14:editId="1EF022DB">
            <wp:extent cx="3747530" cy="2432304"/>
            <wp:effectExtent l="0" t="0" r="5715"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4407" cy="2436767"/>
                    </a:xfrm>
                    <a:prstGeom prst="rect">
                      <a:avLst/>
                    </a:prstGeom>
                    <a:noFill/>
                  </pic:spPr>
                </pic:pic>
              </a:graphicData>
            </a:graphic>
          </wp:inline>
        </w:drawing>
      </w:r>
    </w:p>
    <w:p w14:paraId="08C85134" w14:textId="05574CC9" w:rsidR="00877907" w:rsidRPr="00877907" w:rsidRDefault="00877907" w:rsidP="00877907">
      <w:pPr>
        <w:jc w:val="center"/>
      </w:pPr>
      <w:r>
        <w:rPr>
          <w:rFonts w:hint="eastAsia"/>
        </w:rPr>
        <w:t>图四、VAE结构</w:t>
      </w:r>
    </w:p>
    <w:p w14:paraId="31D70174" w14:textId="77777777" w:rsidR="00877907" w:rsidRDefault="00877907" w:rsidP="00E7237C">
      <w:pPr>
        <w:ind w:firstLine="480"/>
        <w:rPr>
          <w:rFonts w:ascii="宋体" w:eastAsia="宋体" w:hAnsi="宋体"/>
          <w:sz w:val="24"/>
          <w:szCs w:val="24"/>
        </w:rPr>
      </w:pPr>
    </w:p>
    <w:p w14:paraId="244CCA3E" w14:textId="55829966" w:rsidR="0071144A" w:rsidRDefault="00877907" w:rsidP="00877907">
      <w:pPr>
        <w:ind w:firstLineChars="200" w:firstLine="480"/>
        <w:rPr>
          <w:rFonts w:ascii="宋体" w:eastAsia="宋体" w:hAnsi="宋体"/>
          <w:sz w:val="24"/>
          <w:szCs w:val="24"/>
        </w:rPr>
      </w:pPr>
      <w:r w:rsidRPr="00877907">
        <w:rPr>
          <w:rFonts w:ascii="宋体" w:eastAsia="宋体" w:hAnsi="宋体" w:hint="eastAsia"/>
          <w:sz w:val="24"/>
          <w:szCs w:val="24"/>
        </w:rPr>
        <w:t>变分自动编码</w:t>
      </w:r>
      <w:proofErr w:type="gramStart"/>
      <w:r w:rsidRPr="00877907">
        <w:rPr>
          <w:rFonts w:ascii="宋体" w:eastAsia="宋体" w:hAnsi="宋体" w:hint="eastAsia"/>
          <w:sz w:val="24"/>
          <w:szCs w:val="24"/>
        </w:rPr>
        <w:t>器学习</w:t>
      </w:r>
      <w:proofErr w:type="gramEnd"/>
      <w:r w:rsidRPr="00877907">
        <w:rPr>
          <w:rFonts w:ascii="宋体" w:eastAsia="宋体" w:hAnsi="宋体" w:hint="eastAsia"/>
          <w:sz w:val="24"/>
          <w:szCs w:val="24"/>
        </w:rPr>
        <w:t>的是隐变量（特征）</w:t>
      </w:r>
      <w:r w:rsidRPr="00877907">
        <w:rPr>
          <w:rFonts w:ascii="宋体" w:eastAsia="宋体" w:hAnsi="宋体"/>
          <w:sz w:val="24"/>
          <w:szCs w:val="24"/>
        </w:rPr>
        <w:t>Z的概率分布，因此在给定输入数据X的情况下，变分自动编码器的推断网络输出的应该是Z的后验分布p（</w:t>
      </w:r>
      <w:proofErr w:type="spellStart"/>
      <w:r w:rsidRPr="00877907">
        <w:rPr>
          <w:rFonts w:ascii="宋体" w:eastAsia="宋体" w:hAnsi="宋体"/>
          <w:sz w:val="24"/>
          <w:szCs w:val="24"/>
        </w:rPr>
        <w:t>z|x</w:t>
      </w:r>
      <w:proofErr w:type="spellEnd"/>
      <w:r w:rsidRPr="00877907">
        <w:rPr>
          <w:rFonts w:ascii="宋体" w:eastAsia="宋体" w:hAnsi="宋体"/>
          <w:sz w:val="24"/>
          <w:szCs w:val="24"/>
        </w:rPr>
        <w:t>）。 但是这个p（</w:t>
      </w:r>
      <w:proofErr w:type="spellStart"/>
      <w:r w:rsidRPr="00877907">
        <w:rPr>
          <w:rFonts w:ascii="宋体" w:eastAsia="宋体" w:hAnsi="宋体"/>
          <w:sz w:val="24"/>
          <w:szCs w:val="24"/>
        </w:rPr>
        <w:t>z|x</w:t>
      </w:r>
      <w:proofErr w:type="spellEnd"/>
      <w:r w:rsidRPr="00877907">
        <w:rPr>
          <w:rFonts w:ascii="宋体" w:eastAsia="宋体" w:hAnsi="宋体"/>
          <w:sz w:val="24"/>
          <w:szCs w:val="24"/>
        </w:rPr>
        <w:t>）后验分布本身是不好求的。所以有学者就想出了使用另一个可伸缩的分布q（</w:t>
      </w:r>
      <w:proofErr w:type="spellStart"/>
      <w:r w:rsidRPr="00877907">
        <w:rPr>
          <w:rFonts w:ascii="宋体" w:eastAsia="宋体" w:hAnsi="宋体"/>
          <w:sz w:val="24"/>
          <w:szCs w:val="24"/>
        </w:rPr>
        <w:t>z|x</w:t>
      </w:r>
      <w:proofErr w:type="spellEnd"/>
      <w:r w:rsidRPr="00877907">
        <w:rPr>
          <w:rFonts w:ascii="宋体" w:eastAsia="宋体" w:hAnsi="宋体"/>
          <w:sz w:val="24"/>
          <w:szCs w:val="24"/>
        </w:rPr>
        <w:t>）来近似p（</w:t>
      </w:r>
      <w:proofErr w:type="spellStart"/>
      <w:r w:rsidRPr="00877907">
        <w:rPr>
          <w:rFonts w:ascii="宋体" w:eastAsia="宋体" w:hAnsi="宋体"/>
          <w:sz w:val="24"/>
          <w:szCs w:val="24"/>
        </w:rPr>
        <w:t>z|x</w:t>
      </w:r>
      <w:proofErr w:type="spellEnd"/>
      <w:r w:rsidRPr="00877907">
        <w:rPr>
          <w:rFonts w:ascii="宋体" w:eastAsia="宋体" w:hAnsi="宋体"/>
          <w:sz w:val="24"/>
          <w:szCs w:val="24"/>
        </w:rPr>
        <w:t>）。</w:t>
      </w:r>
      <w:r>
        <w:rPr>
          <w:rFonts w:ascii="宋体" w:eastAsia="宋体" w:hAnsi="宋体" w:hint="eastAsia"/>
          <w:sz w:val="24"/>
          <w:szCs w:val="24"/>
        </w:rPr>
        <w:t>如下图五所示：</w:t>
      </w:r>
    </w:p>
    <w:p w14:paraId="0E43BD38" w14:textId="27C5C597" w:rsidR="00877907" w:rsidRDefault="00877907" w:rsidP="00877907">
      <w:pPr>
        <w:jc w:val="center"/>
        <w:rPr>
          <w:rFonts w:ascii="宋体" w:eastAsia="宋体" w:hAnsi="宋体"/>
          <w:sz w:val="24"/>
          <w:szCs w:val="24"/>
        </w:rPr>
      </w:pPr>
      <w:r>
        <w:rPr>
          <w:rFonts w:ascii="宋体" w:eastAsia="宋体" w:hAnsi="宋体"/>
          <w:noProof/>
          <w:sz w:val="24"/>
          <w:szCs w:val="24"/>
        </w:rPr>
        <w:drawing>
          <wp:inline distT="0" distB="0" distL="0" distR="0" wp14:anchorId="37BFB8CE" wp14:editId="044B3561">
            <wp:extent cx="4082453" cy="2115312"/>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3060" cy="2131171"/>
                    </a:xfrm>
                    <a:prstGeom prst="rect">
                      <a:avLst/>
                    </a:prstGeom>
                    <a:noFill/>
                  </pic:spPr>
                </pic:pic>
              </a:graphicData>
            </a:graphic>
          </wp:inline>
        </w:drawing>
      </w:r>
    </w:p>
    <w:p w14:paraId="6939EAF3" w14:textId="48E68F12" w:rsidR="00877907" w:rsidRDefault="00877907" w:rsidP="00877907">
      <w:pPr>
        <w:jc w:val="center"/>
        <w:rPr>
          <w:rFonts w:ascii="宋体" w:eastAsia="宋体" w:hAnsi="宋体"/>
          <w:sz w:val="24"/>
          <w:szCs w:val="24"/>
        </w:rPr>
      </w:pPr>
      <w:r>
        <w:rPr>
          <w:rFonts w:ascii="宋体" w:eastAsia="宋体" w:hAnsi="宋体" w:hint="eastAsia"/>
          <w:sz w:val="24"/>
          <w:szCs w:val="24"/>
        </w:rPr>
        <w:t>图五、变分自编码器隐式结构</w:t>
      </w:r>
    </w:p>
    <w:p w14:paraId="500B6F1E" w14:textId="443913D1" w:rsidR="00877907" w:rsidRDefault="00877907" w:rsidP="00877907">
      <w:pPr>
        <w:jc w:val="left"/>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sidRPr="00877907">
        <w:rPr>
          <w:rFonts w:ascii="宋体" w:eastAsia="宋体" w:hAnsi="宋体" w:hint="eastAsia"/>
          <w:sz w:val="24"/>
          <w:szCs w:val="24"/>
        </w:rPr>
        <w:t>我们可以最小化</w:t>
      </w:r>
      <w:r>
        <w:rPr>
          <w:rFonts w:ascii="宋体" w:eastAsia="宋体" w:hAnsi="宋体" w:hint="eastAsia"/>
          <w:sz w:val="24"/>
          <w:szCs w:val="24"/>
        </w:rPr>
        <w:t>p和q</w:t>
      </w:r>
      <w:r w:rsidRPr="00877907">
        <w:rPr>
          <w:rFonts w:ascii="宋体" w:eastAsia="宋体" w:hAnsi="宋体" w:hint="eastAsia"/>
          <w:sz w:val="24"/>
          <w:szCs w:val="24"/>
        </w:rPr>
        <w:t>分布之间的</w:t>
      </w:r>
      <w:r w:rsidRPr="00877907">
        <w:rPr>
          <w:rFonts w:ascii="宋体" w:eastAsia="宋体" w:hAnsi="宋体"/>
          <w:sz w:val="24"/>
          <w:szCs w:val="24"/>
        </w:rPr>
        <w:t>KL散度，</w:t>
      </w:r>
      <w:r w:rsidR="00534A30">
        <w:rPr>
          <w:rFonts w:ascii="宋体" w:eastAsia="宋体" w:hAnsi="宋体" w:hint="eastAsia"/>
          <w:sz w:val="24"/>
          <w:szCs w:val="24"/>
        </w:rPr>
        <w:t>也就是</w:t>
      </w:r>
      <w:r w:rsidRPr="00877907">
        <w:rPr>
          <w:rFonts w:ascii="宋体" w:eastAsia="宋体" w:hAnsi="宋体"/>
          <w:sz w:val="24"/>
          <w:szCs w:val="24"/>
        </w:rPr>
        <w:t>衡量两个分布之间的距离</w:t>
      </w:r>
      <w:r w:rsidR="00534A30">
        <w:rPr>
          <w:rFonts w:ascii="宋体" w:eastAsia="宋体" w:hAnsi="宋体" w:hint="eastAsia"/>
          <w:sz w:val="24"/>
          <w:szCs w:val="24"/>
        </w:rPr>
        <w:t>，可以得到：</w:t>
      </w:r>
    </w:p>
    <w:p w14:paraId="5CBA001B" w14:textId="190F34A1" w:rsidR="00534A30" w:rsidRDefault="00534A30" w:rsidP="00534A30">
      <w:pPr>
        <w:jc w:val="center"/>
        <w:rPr>
          <w:rFonts w:ascii="宋体" w:eastAsia="宋体" w:hAnsi="宋体"/>
          <w:sz w:val="24"/>
          <w:szCs w:val="24"/>
        </w:rPr>
      </w:pPr>
      <w:r>
        <w:rPr>
          <w:rFonts w:ascii="宋体" w:eastAsia="宋体" w:hAnsi="宋体"/>
          <w:noProof/>
          <w:sz w:val="24"/>
          <w:szCs w:val="24"/>
        </w:rPr>
        <w:drawing>
          <wp:inline distT="0" distB="0" distL="0" distR="0" wp14:anchorId="71AABBC7" wp14:editId="38FE910B">
            <wp:extent cx="1883664" cy="315331"/>
            <wp:effectExtent l="0" t="0" r="2540" b="889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8107" cy="344533"/>
                    </a:xfrm>
                    <a:prstGeom prst="rect">
                      <a:avLst/>
                    </a:prstGeom>
                    <a:noFill/>
                  </pic:spPr>
                </pic:pic>
              </a:graphicData>
            </a:graphic>
          </wp:inline>
        </w:drawing>
      </w:r>
    </w:p>
    <w:p w14:paraId="7762D1F6" w14:textId="4B5D8772" w:rsidR="00534A30" w:rsidRDefault="00534A30" w:rsidP="00534A30">
      <w:pPr>
        <w:jc w:val="left"/>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sidRPr="00534A30">
        <w:rPr>
          <w:rFonts w:ascii="宋体" w:eastAsia="宋体" w:hAnsi="宋体" w:hint="eastAsia"/>
          <w:sz w:val="24"/>
          <w:szCs w:val="24"/>
        </w:rPr>
        <w:t>因为</w:t>
      </w:r>
      <w:r w:rsidRPr="00534A30">
        <w:rPr>
          <w:rFonts w:ascii="宋体" w:eastAsia="宋体" w:hAnsi="宋体"/>
          <w:sz w:val="24"/>
          <w:szCs w:val="24"/>
        </w:rPr>
        <w:t>q(</w:t>
      </w:r>
      <w:proofErr w:type="spellStart"/>
      <w:r w:rsidRPr="00534A30">
        <w:rPr>
          <w:rFonts w:ascii="宋体" w:eastAsia="宋体" w:hAnsi="宋体"/>
          <w:sz w:val="24"/>
          <w:szCs w:val="24"/>
        </w:rPr>
        <w:t>z|x</w:t>
      </w:r>
      <w:proofErr w:type="spellEnd"/>
      <w:r w:rsidRPr="00534A30">
        <w:rPr>
          <w:rFonts w:ascii="宋体" w:eastAsia="宋体" w:hAnsi="宋体"/>
          <w:sz w:val="24"/>
          <w:szCs w:val="24"/>
        </w:rPr>
        <w:t>)为分布函数，所以有</w:t>
      </w:r>
    </w:p>
    <w:p w14:paraId="5E21F4C8" w14:textId="541C3415" w:rsidR="00534A30" w:rsidRDefault="00534A30" w:rsidP="00534A30">
      <w:pPr>
        <w:jc w:val="center"/>
        <w:rPr>
          <w:rFonts w:ascii="宋体" w:eastAsia="宋体" w:hAnsi="宋体"/>
          <w:sz w:val="24"/>
          <w:szCs w:val="24"/>
        </w:rPr>
      </w:pPr>
      <w:r w:rsidRPr="00534A30">
        <w:rPr>
          <w:noProof/>
        </w:rPr>
        <w:drawing>
          <wp:inline distT="0" distB="0" distL="0" distR="0" wp14:anchorId="64CE61D7" wp14:editId="0A3FFEBC">
            <wp:extent cx="3169920" cy="2060049"/>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07331" cy="2084361"/>
                    </a:xfrm>
                    <a:prstGeom prst="rect">
                      <a:avLst/>
                    </a:prstGeom>
                  </pic:spPr>
                </pic:pic>
              </a:graphicData>
            </a:graphic>
          </wp:inline>
        </w:drawing>
      </w:r>
    </w:p>
    <w:p w14:paraId="5906F5E6" w14:textId="001FF646" w:rsidR="00534A30" w:rsidRDefault="00534A30" w:rsidP="00534A30">
      <w:pPr>
        <w:ind w:firstLineChars="200" w:firstLine="480"/>
        <w:jc w:val="left"/>
        <w:rPr>
          <w:rFonts w:ascii="宋体" w:eastAsia="宋体" w:hAnsi="宋体"/>
          <w:sz w:val="24"/>
          <w:szCs w:val="24"/>
        </w:rPr>
      </w:pPr>
      <w:r w:rsidRPr="00534A30">
        <w:rPr>
          <w:rFonts w:ascii="宋体" w:eastAsia="宋体" w:hAnsi="宋体" w:hint="eastAsia"/>
          <w:sz w:val="24"/>
          <w:szCs w:val="24"/>
        </w:rPr>
        <w:t>因为</w:t>
      </w:r>
      <w:r w:rsidRPr="00534A30">
        <w:rPr>
          <w:rFonts w:ascii="宋体" w:eastAsia="宋体" w:hAnsi="宋体"/>
          <w:sz w:val="24"/>
          <w:szCs w:val="24"/>
        </w:rPr>
        <w:t xml:space="preserve">p（x）是固定的，即L是一个定值，我们想要最小化p和q之间散度的话，便应使得 </w:t>
      </w:r>
      <w:r>
        <w:rPr>
          <w:rFonts w:ascii="宋体" w:eastAsia="宋体" w:hAnsi="宋体" w:hint="eastAsia"/>
          <w:sz w:val="24"/>
          <w:szCs w:val="24"/>
        </w:rPr>
        <w:t>L</w:t>
      </w:r>
      <w:r>
        <w:rPr>
          <w:rFonts w:ascii="宋体" w:eastAsia="宋体" w:hAnsi="宋体"/>
          <w:sz w:val="24"/>
          <w:szCs w:val="24"/>
          <w:vertAlign w:val="superscript"/>
        </w:rPr>
        <w:t>V</w:t>
      </w:r>
      <w:r w:rsidRPr="00534A30">
        <w:rPr>
          <w:rFonts w:ascii="宋体" w:eastAsia="宋体" w:hAnsi="宋体"/>
          <w:sz w:val="24"/>
          <w:szCs w:val="24"/>
        </w:rPr>
        <w:t>最大化。</w:t>
      </w:r>
    </w:p>
    <w:p w14:paraId="65377F05" w14:textId="3B36B3CD" w:rsidR="00534A30" w:rsidRDefault="00534A30" w:rsidP="00534A30">
      <w:pPr>
        <w:ind w:firstLineChars="200" w:firstLine="420"/>
        <w:jc w:val="center"/>
        <w:rPr>
          <w:rFonts w:ascii="宋体" w:eastAsia="宋体" w:hAnsi="宋体"/>
          <w:sz w:val="24"/>
          <w:szCs w:val="24"/>
        </w:rPr>
      </w:pPr>
      <w:r w:rsidRPr="00534A30">
        <w:rPr>
          <w:noProof/>
        </w:rPr>
        <w:drawing>
          <wp:inline distT="0" distB="0" distL="0" distR="0" wp14:anchorId="30321271" wp14:editId="21D9CA68">
            <wp:extent cx="2932176" cy="1280640"/>
            <wp:effectExtent l="0" t="0" r="190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84012" cy="1303279"/>
                    </a:xfrm>
                    <a:prstGeom prst="rect">
                      <a:avLst/>
                    </a:prstGeom>
                  </pic:spPr>
                </pic:pic>
              </a:graphicData>
            </a:graphic>
          </wp:inline>
        </w:drawing>
      </w:r>
    </w:p>
    <w:p w14:paraId="3C9C85E8" w14:textId="77777777" w:rsidR="00534A30" w:rsidRPr="00534A30" w:rsidRDefault="00534A30" w:rsidP="00534A30">
      <w:pPr>
        <w:ind w:firstLineChars="200" w:firstLine="480"/>
        <w:rPr>
          <w:rFonts w:ascii="宋体" w:eastAsia="宋体" w:hAnsi="宋体"/>
          <w:sz w:val="24"/>
          <w:szCs w:val="24"/>
        </w:rPr>
      </w:pPr>
    </w:p>
    <w:p w14:paraId="22DB3B50" w14:textId="59BD72B3" w:rsidR="007D032B" w:rsidRDefault="0071144A" w:rsidP="0071144A">
      <w:pPr>
        <w:pStyle w:val="1"/>
      </w:pPr>
      <w:r>
        <w:rPr>
          <w:rFonts w:hint="eastAsia"/>
        </w:rPr>
        <w:t>三、</w:t>
      </w:r>
      <w:r w:rsidR="00534A30" w:rsidRPr="00534A30">
        <w:rPr>
          <w:rFonts w:hint="eastAsia"/>
        </w:rPr>
        <w:t>深度神经网络分类</w:t>
      </w:r>
    </w:p>
    <w:p w14:paraId="53E62A92" w14:textId="07300954" w:rsidR="00534A30" w:rsidRDefault="00534A30" w:rsidP="00534A30">
      <w:pPr>
        <w:ind w:firstLineChars="200" w:firstLine="420"/>
      </w:pPr>
      <w:r>
        <w:rPr>
          <w:rFonts w:hint="eastAsia"/>
        </w:rPr>
        <w:t>本文</w:t>
      </w:r>
      <w:r w:rsidRPr="00534A30">
        <w:rPr>
          <w:rFonts w:hint="eastAsia"/>
        </w:rPr>
        <w:t>所用数据</w:t>
      </w:r>
      <w:proofErr w:type="gramStart"/>
      <w:r w:rsidRPr="00534A30">
        <w:rPr>
          <w:rFonts w:hint="eastAsia"/>
        </w:rPr>
        <w:t>集正是泛</w:t>
      </w:r>
      <w:proofErr w:type="gramEnd"/>
      <w:r w:rsidRPr="00534A30">
        <w:rPr>
          <w:rFonts w:hint="eastAsia"/>
        </w:rPr>
        <w:t>癌症图谱项目里的第三级别的</w:t>
      </w:r>
      <w:r w:rsidRPr="00534A30">
        <w:t>RNA序列基因表达数据。该数据集包含33种癌症类型共10447个样本，每个样本大概有20k+种基因表达量</w:t>
      </w:r>
      <w:r>
        <w:rPr>
          <w:rFonts w:hint="eastAsia"/>
        </w:rPr>
        <w:t>。</w:t>
      </w:r>
      <w:r w:rsidRPr="00534A30">
        <w:t>由于每个样本的基因特征经过预处理以后仍高达10k维，作者选择将基因特征嵌入成102*102的2D图像，基因特征按照染色体数量进行排序，最后不能构成平方数的位置补0。嵌入后的一些图像示例如下：</w:t>
      </w:r>
    </w:p>
    <w:p w14:paraId="1DF91C65" w14:textId="22286B2B" w:rsidR="00534A30" w:rsidRDefault="00534A30" w:rsidP="00534A30">
      <w:pPr>
        <w:jc w:val="center"/>
      </w:pPr>
      <w:r>
        <w:rPr>
          <w:noProof/>
        </w:rPr>
        <w:drawing>
          <wp:inline distT="0" distB="0" distL="0" distR="0" wp14:anchorId="6EBAE052" wp14:editId="78E5C7A1">
            <wp:extent cx="4401590" cy="1481328"/>
            <wp:effectExtent l="0" t="0" r="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22697" cy="1488431"/>
                    </a:xfrm>
                    <a:prstGeom prst="rect">
                      <a:avLst/>
                    </a:prstGeom>
                    <a:noFill/>
                  </pic:spPr>
                </pic:pic>
              </a:graphicData>
            </a:graphic>
          </wp:inline>
        </w:drawing>
      </w:r>
    </w:p>
    <w:p w14:paraId="03A417E2" w14:textId="0C7E7164" w:rsidR="00534A30" w:rsidRDefault="00534A30" w:rsidP="00534A30">
      <w:pPr>
        <w:jc w:val="center"/>
      </w:pPr>
      <w:r>
        <w:rPr>
          <w:rFonts w:hint="eastAsia"/>
        </w:rPr>
        <w:t>图六、数据集生成2D图像</w:t>
      </w:r>
    </w:p>
    <w:p w14:paraId="4D4FFC2C" w14:textId="108A08FE" w:rsidR="00534A30" w:rsidRDefault="00534A30" w:rsidP="00534A30">
      <w:pPr>
        <w:ind w:firstLineChars="200" w:firstLine="420"/>
        <w:jc w:val="left"/>
      </w:pPr>
      <w:r w:rsidRPr="00534A30">
        <w:rPr>
          <w:rFonts w:hint="eastAsia"/>
        </w:rPr>
        <w:t>尽管有</w:t>
      </w:r>
      <w:r w:rsidRPr="00534A30">
        <w:t>10k+</w:t>
      </w:r>
      <w:proofErr w:type="gramStart"/>
      <w:r w:rsidRPr="00534A30">
        <w:t>个</w:t>
      </w:r>
      <w:proofErr w:type="gramEnd"/>
      <w:r w:rsidRPr="00534A30">
        <w:t>癌症样本，但是对于33类癌症类型来说，每种癌症类型的样本仍然很少。为了避免过拟合，可以看出作者使用了很浅的卷积网络，包含3个卷积层和3个全连接层</w:t>
      </w:r>
      <w:r>
        <w:rPr>
          <w:rFonts w:hint="eastAsia"/>
        </w:rPr>
        <w:t>。接下来我们将处理好的图像输入到下图七的网络：</w:t>
      </w:r>
    </w:p>
    <w:p w14:paraId="6951B036" w14:textId="1A87A60F" w:rsidR="00534A30" w:rsidRDefault="00534A30" w:rsidP="00534A30">
      <w:pPr>
        <w:jc w:val="center"/>
      </w:pPr>
      <w:r>
        <w:rPr>
          <w:noProof/>
        </w:rPr>
        <w:drawing>
          <wp:inline distT="0" distB="0" distL="0" distR="0" wp14:anchorId="604AB7E1" wp14:editId="78B7B664">
            <wp:extent cx="4247670" cy="1182624"/>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a:extLst>
                        <a:ext uri="{28A0092B-C50C-407E-A947-70E740481C1C}">
                          <a14:useLocalDpi xmlns:a14="http://schemas.microsoft.com/office/drawing/2010/main" val="0"/>
                        </a:ext>
                      </a:extLst>
                    </a:blip>
                    <a:srcRect b="12316"/>
                    <a:stretch/>
                  </pic:blipFill>
                  <pic:spPr bwMode="auto">
                    <a:xfrm>
                      <a:off x="0" y="0"/>
                      <a:ext cx="4330350" cy="1205644"/>
                    </a:xfrm>
                    <a:prstGeom prst="rect">
                      <a:avLst/>
                    </a:prstGeom>
                    <a:noFill/>
                    <a:ln>
                      <a:noFill/>
                    </a:ln>
                    <a:extLst>
                      <a:ext uri="{53640926-AAD7-44D8-BBD7-CCE9431645EC}">
                        <a14:shadowObscured xmlns:a14="http://schemas.microsoft.com/office/drawing/2010/main"/>
                      </a:ext>
                    </a:extLst>
                  </pic:spPr>
                </pic:pic>
              </a:graphicData>
            </a:graphic>
          </wp:inline>
        </w:drawing>
      </w:r>
    </w:p>
    <w:p w14:paraId="60FA4040" w14:textId="6D936F35" w:rsidR="00534A30" w:rsidRDefault="00534A30" w:rsidP="00534A30">
      <w:pPr>
        <w:jc w:val="center"/>
      </w:pPr>
      <w:r>
        <w:rPr>
          <w:rFonts w:hint="eastAsia"/>
        </w:rPr>
        <w:t>图七、卷积神经网络</w:t>
      </w:r>
    </w:p>
    <w:p w14:paraId="4C1E40DC" w14:textId="50626936" w:rsidR="00534A30" w:rsidRDefault="007722BF" w:rsidP="007722BF">
      <w:pPr>
        <w:ind w:firstLineChars="200" w:firstLine="420"/>
      </w:pPr>
      <w:r w:rsidRPr="007722BF">
        <w:rPr>
          <w:rFonts w:hint="eastAsia"/>
        </w:rPr>
        <w:t>采用</w:t>
      </w:r>
      <w:r w:rsidRPr="007722BF">
        <w:t>10折交叉验证</w:t>
      </w:r>
      <w:r>
        <w:rPr>
          <w:rFonts w:hint="eastAsia"/>
        </w:rPr>
        <w:t>，对输入样本迭代几轮之后分别求</w:t>
      </w:r>
      <w:r w:rsidRPr="007722BF">
        <w:t>测试结果</w:t>
      </w:r>
      <w:r>
        <w:rPr>
          <w:rFonts w:hint="eastAsia"/>
        </w:rPr>
        <w:t>，我们可以看出四种评价指标均到达了百分之九十五以上，测试结果如下图八：</w:t>
      </w:r>
    </w:p>
    <w:p w14:paraId="21042EC6" w14:textId="01FC2E9E" w:rsidR="007722BF" w:rsidRDefault="007722BF" w:rsidP="007722BF">
      <w:pPr>
        <w:jc w:val="center"/>
      </w:pPr>
      <w:r>
        <w:rPr>
          <w:noProof/>
        </w:rPr>
        <w:drawing>
          <wp:inline distT="0" distB="0" distL="0" distR="0" wp14:anchorId="6A840922" wp14:editId="2100B8DC">
            <wp:extent cx="3450590" cy="139636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50590" cy="1396365"/>
                    </a:xfrm>
                    <a:prstGeom prst="rect">
                      <a:avLst/>
                    </a:prstGeom>
                    <a:noFill/>
                  </pic:spPr>
                </pic:pic>
              </a:graphicData>
            </a:graphic>
          </wp:inline>
        </w:drawing>
      </w:r>
    </w:p>
    <w:p w14:paraId="42950A96" w14:textId="0FFFDAB9" w:rsidR="007722BF" w:rsidRDefault="007722BF" w:rsidP="007722BF">
      <w:pPr>
        <w:jc w:val="center"/>
      </w:pPr>
      <w:r>
        <w:rPr>
          <w:rFonts w:hint="eastAsia"/>
        </w:rPr>
        <w:t>图八、测试结果</w:t>
      </w:r>
    </w:p>
    <w:p w14:paraId="6576A1C1" w14:textId="3C5C74B9" w:rsidR="007722BF" w:rsidRDefault="007722BF" w:rsidP="007722BF">
      <w:r>
        <w:rPr>
          <w:rFonts w:hint="eastAsia"/>
        </w:rPr>
        <w:t xml:space="preserve"> </w:t>
      </w:r>
      <w:r>
        <w:t xml:space="preserve"> </w:t>
      </w:r>
      <w:r>
        <w:rPr>
          <w:rFonts w:hint="eastAsia"/>
        </w:rPr>
        <w:t>我们还可以通过生成混淆矩阵来分析该方法的实际分类结果，从下图</w:t>
      </w:r>
      <w:proofErr w:type="gramStart"/>
      <w:r>
        <w:rPr>
          <w:rFonts w:hint="eastAsia"/>
        </w:rPr>
        <w:t>九可以</w:t>
      </w:r>
      <w:proofErr w:type="gramEnd"/>
      <w:r>
        <w:rPr>
          <w:rFonts w:hint="eastAsia"/>
        </w:rPr>
        <w:t>看出，33个分类中大部分分类很准确，其中结肠癌和直肠癌存在严重的误分类，通过查看其基因特征，我们可以看出其致癌基因特征十分相似。</w:t>
      </w:r>
    </w:p>
    <w:p w14:paraId="41F6C0A3" w14:textId="0F43F253" w:rsidR="007722BF" w:rsidRDefault="007722BF" w:rsidP="007722BF">
      <w:pPr>
        <w:jc w:val="center"/>
      </w:pPr>
      <w:r>
        <w:rPr>
          <w:noProof/>
        </w:rPr>
        <w:drawing>
          <wp:inline distT="0" distB="0" distL="0" distR="0" wp14:anchorId="3FC78674" wp14:editId="5B2B655B">
            <wp:extent cx="2700655" cy="2103120"/>
            <wp:effectExtent l="0" t="0" r="444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0655" cy="2103120"/>
                    </a:xfrm>
                    <a:prstGeom prst="rect">
                      <a:avLst/>
                    </a:prstGeom>
                    <a:noFill/>
                  </pic:spPr>
                </pic:pic>
              </a:graphicData>
            </a:graphic>
          </wp:inline>
        </w:drawing>
      </w:r>
    </w:p>
    <w:p w14:paraId="3CB406A9" w14:textId="6895553D" w:rsidR="007722BF" w:rsidRPr="007722BF" w:rsidRDefault="007722BF" w:rsidP="007722BF">
      <w:pPr>
        <w:jc w:val="center"/>
      </w:pPr>
      <w:r>
        <w:rPr>
          <w:rFonts w:hint="eastAsia"/>
        </w:rPr>
        <w:t>图九、混淆矩阵</w:t>
      </w:r>
    </w:p>
    <w:p w14:paraId="4DFBB28F" w14:textId="7C33C722" w:rsidR="0087308B" w:rsidRDefault="007722BF" w:rsidP="007722BF">
      <w:pPr>
        <w:pStyle w:val="1"/>
      </w:pPr>
      <w:bookmarkStart w:id="0" w:name="_Hlk26783339"/>
      <w:r>
        <w:rPr>
          <w:rFonts w:hint="eastAsia"/>
        </w:rPr>
        <w:t>四、Heat</w:t>
      </w:r>
      <w:r>
        <w:t xml:space="preserve"> Map</w:t>
      </w:r>
      <w:r>
        <w:rPr>
          <w:rFonts w:hint="eastAsia"/>
        </w:rPr>
        <w:t>图谱分析</w:t>
      </w:r>
    </w:p>
    <w:bookmarkEnd w:id="0"/>
    <w:p w14:paraId="696B5936" w14:textId="2DACE27D" w:rsidR="007722BF" w:rsidRDefault="007722BF" w:rsidP="007722BF">
      <w:pPr>
        <w:ind w:firstLineChars="200" w:firstLine="420"/>
      </w:pPr>
      <w:r w:rsidRPr="007722BF">
        <w:rPr>
          <w:rFonts w:hint="eastAsia"/>
        </w:rPr>
        <w:t>在对癌症类型进行分类后，作者使用</w:t>
      </w:r>
      <w:r w:rsidRPr="007722BF">
        <w:t>Grad-Cam方法建立一个热度图，该热度</w:t>
      </w:r>
      <w:proofErr w:type="gramStart"/>
      <w:r w:rsidRPr="007722BF">
        <w:t>图每个</w:t>
      </w:r>
      <w:proofErr w:type="gramEnd"/>
      <w:r w:rsidRPr="007722BF">
        <w:t>像素显示了相应位置基因的表达强度，表示每个基因特征对最后癌症类型分类所做的贡献。</w:t>
      </w:r>
      <w:r>
        <w:rPr>
          <w:rFonts w:hint="eastAsia"/>
        </w:rPr>
        <w:t>如下图十所示，行代表癌症特征，列是选取的一些致癌样本：</w:t>
      </w:r>
    </w:p>
    <w:p w14:paraId="57014692" w14:textId="77777777" w:rsidR="007722BF" w:rsidRDefault="007722BF" w:rsidP="007722BF">
      <w:pPr>
        <w:rPr>
          <w:noProof/>
        </w:rPr>
      </w:pPr>
    </w:p>
    <w:p w14:paraId="5C799CD1" w14:textId="66FD3491" w:rsidR="007722BF" w:rsidRDefault="007722BF" w:rsidP="007722BF">
      <w:pPr>
        <w:jc w:val="center"/>
      </w:pPr>
      <w:r>
        <w:rPr>
          <w:noProof/>
        </w:rPr>
        <w:drawing>
          <wp:inline distT="0" distB="0" distL="0" distR="0" wp14:anchorId="36F4A77C" wp14:editId="2458B7C6">
            <wp:extent cx="4655236" cy="1389380"/>
            <wp:effectExtent l="0" t="0" r="0" b="127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1">
                      <a:extLst>
                        <a:ext uri="{28A0092B-C50C-407E-A947-70E740481C1C}">
                          <a14:useLocalDpi xmlns:a14="http://schemas.microsoft.com/office/drawing/2010/main" val="0"/>
                        </a:ext>
                      </a:extLst>
                    </a:blip>
                    <a:srcRect l="5682" b="16009"/>
                    <a:stretch/>
                  </pic:blipFill>
                  <pic:spPr bwMode="auto">
                    <a:xfrm>
                      <a:off x="0" y="0"/>
                      <a:ext cx="4685371" cy="1398374"/>
                    </a:xfrm>
                    <a:prstGeom prst="rect">
                      <a:avLst/>
                    </a:prstGeom>
                    <a:noFill/>
                    <a:ln>
                      <a:noFill/>
                    </a:ln>
                    <a:extLst>
                      <a:ext uri="{53640926-AAD7-44D8-BBD7-CCE9431645EC}">
                        <a14:shadowObscured xmlns:a14="http://schemas.microsoft.com/office/drawing/2010/main"/>
                      </a:ext>
                    </a:extLst>
                  </pic:spPr>
                </pic:pic>
              </a:graphicData>
            </a:graphic>
          </wp:inline>
        </w:drawing>
      </w:r>
    </w:p>
    <w:p w14:paraId="4D2539BC" w14:textId="25C9ECC4" w:rsidR="007722BF" w:rsidRDefault="007722BF" w:rsidP="007722BF">
      <w:pPr>
        <w:jc w:val="center"/>
      </w:pPr>
      <w:r>
        <w:rPr>
          <w:rFonts w:hint="eastAsia"/>
        </w:rPr>
        <w:t>图十、H</w:t>
      </w:r>
      <w:r>
        <w:t>eat Map</w:t>
      </w:r>
      <w:r>
        <w:rPr>
          <w:rFonts w:hint="eastAsia"/>
        </w:rPr>
        <w:t>图谱</w:t>
      </w:r>
    </w:p>
    <w:p w14:paraId="74BC804E" w14:textId="6179B996" w:rsidR="008027E9" w:rsidRDefault="007722BF" w:rsidP="007722BF">
      <w:r>
        <w:rPr>
          <w:rFonts w:hint="eastAsia"/>
        </w:rPr>
        <w:t xml:space="preserve"> </w:t>
      </w:r>
      <w:r>
        <w:t xml:space="preserve"> </w:t>
      </w:r>
      <w:r>
        <w:rPr>
          <w:rFonts w:hint="eastAsia"/>
        </w:rPr>
        <w:t>通过分析</w:t>
      </w:r>
      <w:r>
        <w:t>H</w:t>
      </w:r>
      <w:r>
        <w:rPr>
          <w:rFonts w:hint="eastAsia"/>
        </w:rPr>
        <w:t>e</w:t>
      </w:r>
      <w:r>
        <w:t>at Map</w:t>
      </w:r>
      <w:r>
        <w:rPr>
          <w:rFonts w:hint="eastAsia"/>
        </w:rPr>
        <w:t>图谱，我们可以分析出每个癌症类型对分类结果影响比较大的基因特征，这里我们选取</w:t>
      </w:r>
      <w:r w:rsidR="008027E9">
        <w:t>t</w:t>
      </w:r>
      <w:r>
        <w:t>op5,</w:t>
      </w:r>
      <w:r>
        <w:rPr>
          <w:rFonts w:hint="eastAsia"/>
        </w:rPr>
        <w:t>一些结果如下图十一所示：</w:t>
      </w:r>
    </w:p>
    <w:p w14:paraId="5129E92E" w14:textId="702FCA80" w:rsidR="007722BF" w:rsidRDefault="008027E9" w:rsidP="008027E9">
      <w:pPr>
        <w:jc w:val="center"/>
      </w:pPr>
      <w:r>
        <w:rPr>
          <w:noProof/>
        </w:rPr>
        <w:drawing>
          <wp:inline distT="0" distB="0" distL="0" distR="0" wp14:anchorId="7C033BF6" wp14:editId="1E8AB1FE">
            <wp:extent cx="2767965" cy="185356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2">
                      <a:extLst>
                        <a:ext uri="{28A0092B-C50C-407E-A947-70E740481C1C}">
                          <a14:useLocalDpi xmlns:a14="http://schemas.microsoft.com/office/drawing/2010/main" val="0"/>
                        </a:ext>
                      </a:extLst>
                    </a:blip>
                    <a:srcRect t="10322"/>
                    <a:stretch/>
                  </pic:blipFill>
                  <pic:spPr bwMode="auto">
                    <a:xfrm>
                      <a:off x="0" y="0"/>
                      <a:ext cx="2767965" cy="1853565"/>
                    </a:xfrm>
                    <a:prstGeom prst="rect">
                      <a:avLst/>
                    </a:prstGeom>
                    <a:noFill/>
                    <a:ln>
                      <a:noFill/>
                    </a:ln>
                    <a:extLst>
                      <a:ext uri="{53640926-AAD7-44D8-BBD7-CCE9431645EC}">
                        <a14:shadowObscured xmlns:a14="http://schemas.microsoft.com/office/drawing/2010/main"/>
                      </a:ext>
                    </a:extLst>
                  </pic:spPr>
                </pic:pic>
              </a:graphicData>
            </a:graphic>
          </wp:inline>
        </w:drawing>
      </w:r>
    </w:p>
    <w:p w14:paraId="211532ED" w14:textId="5E88268C" w:rsidR="008027E9" w:rsidRDefault="008027E9" w:rsidP="008027E9">
      <w:pPr>
        <w:jc w:val="center"/>
      </w:pPr>
      <w:r>
        <w:rPr>
          <w:rFonts w:hint="eastAsia"/>
        </w:rPr>
        <w:t>图十一、致癌基因top</w:t>
      </w:r>
      <w:r>
        <w:t>5</w:t>
      </w:r>
      <w:r>
        <w:rPr>
          <w:rFonts w:hint="eastAsia"/>
        </w:rPr>
        <w:t>、Heat</w:t>
      </w:r>
      <w:r>
        <w:t xml:space="preserve"> Map</w:t>
      </w:r>
      <w:r>
        <w:rPr>
          <w:rFonts w:hint="eastAsia"/>
        </w:rPr>
        <w:t>图谱分析</w:t>
      </w:r>
    </w:p>
    <w:p w14:paraId="283BA566" w14:textId="11B734F1" w:rsidR="008027E9" w:rsidRDefault="008027E9" w:rsidP="008027E9">
      <w:pPr>
        <w:pStyle w:val="1"/>
      </w:pPr>
      <w:bookmarkStart w:id="1" w:name="_Hlk26796092"/>
      <w:r>
        <w:rPr>
          <w:rFonts w:hint="eastAsia"/>
        </w:rPr>
        <w:t>五、总结</w:t>
      </w:r>
    </w:p>
    <w:bookmarkEnd w:id="1"/>
    <w:p w14:paraId="273FDD7F" w14:textId="73AB8C8D" w:rsidR="008027E9" w:rsidRDefault="00F05300" w:rsidP="00F05300">
      <w:pPr>
        <w:ind w:firstLineChars="200" w:firstLine="420"/>
        <w:jc w:val="left"/>
      </w:pPr>
      <w:r w:rsidRPr="00F05300">
        <w:rPr>
          <w:rFonts w:hint="eastAsia"/>
        </w:rPr>
        <w:t>本文</w:t>
      </w:r>
      <w:r>
        <w:rPr>
          <w:rFonts w:hint="eastAsia"/>
        </w:rPr>
        <w:t>使用深度学习的方法</w:t>
      </w:r>
      <w:r w:rsidRPr="00F05300">
        <w:rPr>
          <w:rFonts w:hint="eastAsia"/>
        </w:rPr>
        <w:t>分析基因表达数据来判断癌症类型，进而分析每种癌症类型的候选分子标记</w:t>
      </w:r>
      <w:r>
        <w:rPr>
          <w:rFonts w:hint="eastAsia"/>
        </w:rPr>
        <w:t>，对于</w:t>
      </w:r>
      <w:r w:rsidRPr="00F05300">
        <w:rPr>
          <w:rFonts w:hint="eastAsia"/>
        </w:rPr>
        <w:t>以癌症特定的分子特征来制定治疗策略</w:t>
      </w:r>
      <w:r>
        <w:rPr>
          <w:rFonts w:hint="eastAsia"/>
        </w:rPr>
        <w:t>具有一定意义，通过热度图图谱的方式寻找相应癌症类型对应的基因分子标记为我们提供了新思路。</w:t>
      </w:r>
    </w:p>
    <w:p w14:paraId="7BB905C2" w14:textId="4E89B5F6" w:rsidR="005B0C0C" w:rsidRPr="005B0C0C" w:rsidRDefault="00C60BFD" w:rsidP="005B0C0C">
      <w:pPr>
        <w:autoSpaceDE w:val="0"/>
        <w:autoSpaceDN w:val="0"/>
        <w:adjustRightInd w:val="0"/>
        <w:ind w:left="480" w:hanging="480"/>
        <w:jc w:val="left"/>
        <w:rPr>
          <w:rFonts w:ascii="等线" w:eastAsia="等线" w:hAnsi="等线"/>
          <w:noProof/>
          <w:sz w:val="20"/>
        </w:rPr>
      </w:pPr>
      <w:r>
        <w:fldChar w:fldCharType="begin" w:fldLock="1"/>
      </w:r>
      <w:r>
        <w:instrText xml:space="preserve">ADDIN Mendeley Bibliography CSL_BIBLIOGRAPHY </w:instrText>
      </w:r>
      <w:r>
        <w:fldChar w:fldCharType="separate"/>
      </w:r>
      <w:r w:rsidR="005B0C0C" w:rsidRPr="005B0C0C">
        <w:rPr>
          <w:rFonts w:ascii="等线" w:eastAsia="等线" w:hAnsi="等线" w:cs="Times New Roman"/>
          <w:noProof/>
          <w:kern w:val="0"/>
          <w:sz w:val="20"/>
          <w:szCs w:val="24"/>
        </w:rPr>
        <w:t xml:space="preserve">Selvaraju, R. R., Cogswell, M., Das, A., Vedantam, R., Parikh, D., &amp; Batra, D. (2017). Grad-CAM: Visual Explanations from Deep Networks via Gradient-Based Localization. </w:t>
      </w:r>
      <w:r w:rsidR="005B0C0C" w:rsidRPr="005B0C0C">
        <w:rPr>
          <w:rFonts w:ascii="等线" w:eastAsia="等线" w:hAnsi="等线" w:cs="Times New Roman"/>
          <w:i/>
          <w:iCs/>
          <w:noProof/>
          <w:kern w:val="0"/>
          <w:sz w:val="20"/>
          <w:szCs w:val="24"/>
        </w:rPr>
        <w:t>Proceedings of the IEEE International Conference on Computer Vision</w:t>
      </w:r>
      <w:r w:rsidR="005B0C0C" w:rsidRPr="005B0C0C">
        <w:rPr>
          <w:rFonts w:ascii="等线" w:eastAsia="等线" w:hAnsi="等线" w:cs="Times New Roman"/>
          <w:noProof/>
          <w:kern w:val="0"/>
          <w:sz w:val="20"/>
          <w:szCs w:val="24"/>
        </w:rPr>
        <w:t xml:space="preserve">, </w:t>
      </w:r>
      <w:r w:rsidR="005B0C0C" w:rsidRPr="005B0C0C">
        <w:rPr>
          <w:rFonts w:ascii="等线" w:eastAsia="等线" w:hAnsi="等线" w:cs="Times New Roman"/>
          <w:i/>
          <w:iCs/>
          <w:noProof/>
          <w:kern w:val="0"/>
          <w:sz w:val="20"/>
          <w:szCs w:val="24"/>
        </w:rPr>
        <w:t>2017</w:t>
      </w:r>
      <w:r w:rsidR="005B0C0C" w:rsidRPr="005B0C0C">
        <w:rPr>
          <w:rFonts w:ascii="等线" w:eastAsia="等线" w:hAnsi="等线" w:cs="Times New Roman"/>
          <w:noProof/>
          <w:kern w:val="0"/>
          <w:sz w:val="20"/>
          <w:szCs w:val="24"/>
        </w:rPr>
        <w:t>-</w:t>
      </w:r>
      <w:r w:rsidR="005B0C0C" w:rsidRPr="005B0C0C">
        <w:rPr>
          <w:rFonts w:ascii="等线" w:eastAsia="等线" w:hAnsi="等线" w:cs="Times New Roman"/>
          <w:i/>
          <w:iCs/>
          <w:noProof/>
          <w:kern w:val="0"/>
          <w:sz w:val="20"/>
          <w:szCs w:val="24"/>
        </w:rPr>
        <w:t>Octob</w:t>
      </w:r>
      <w:r w:rsidR="005B0C0C" w:rsidRPr="005B0C0C">
        <w:rPr>
          <w:rFonts w:ascii="等线" w:eastAsia="等线" w:hAnsi="等线" w:cs="Times New Roman"/>
          <w:noProof/>
          <w:kern w:val="0"/>
          <w:sz w:val="20"/>
          <w:szCs w:val="24"/>
        </w:rPr>
        <w:t>, 618–626. https://doi.org/10.1109/ICCV.2017.74</w:t>
      </w:r>
    </w:p>
    <w:p w14:paraId="5B6E092B" w14:textId="58157FBD" w:rsidR="00C60BFD" w:rsidRPr="00C60BFD" w:rsidRDefault="00C60BFD" w:rsidP="00C60BFD">
      <w:pPr>
        <w:jc w:val="left"/>
      </w:pPr>
      <w:r>
        <w:fldChar w:fldCharType="end"/>
      </w:r>
    </w:p>
    <w:p w14:paraId="173BFD81" w14:textId="7378F023" w:rsidR="00C60BFD" w:rsidRDefault="00C60BFD" w:rsidP="00C60BFD">
      <w:pPr>
        <w:jc w:val="left"/>
      </w:pPr>
    </w:p>
    <w:p w14:paraId="01A16A5A" w14:textId="4DE23EBD" w:rsidR="00C60BFD" w:rsidRDefault="00C60BFD" w:rsidP="00C60BFD">
      <w:pPr>
        <w:jc w:val="left"/>
      </w:pPr>
    </w:p>
    <w:p w14:paraId="7B8DC2D5" w14:textId="08784DFC" w:rsidR="00C60BFD" w:rsidRDefault="00C60BFD" w:rsidP="00C60BFD">
      <w:pPr>
        <w:jc w:val="left"/>
      </w:pPr>
    </w:p>
    <w:p w14:paraId="0A545F8B" w14:textId="61E2044D" w:rsidR="00C60BFD" w:rsidRDefault="00C60BFD" w:rsidP="00C60BFD">
      <w:pPr>
        <w:jc w:val="left"/>
      </w:pPr>
    </w:p>
    <w:p w14:paraId="36CBEFA4" w14:textId="48B52F1C" w:rsidR="00C60BFD" w:rsidRDefault="00C60BFD" w:rsidP="00C60BFD">
      <w:pPr>
        <w:jc w:val="left"/>
      </w:pPr>
    </w:p>
    <w:p w14:paraId="69DD186A" w14:textId="61FE9324" w:rsidR="00C60BFD" w:rsidRDefault="00C60BFD" w:rsidP="00C60BFD">
      <w:pPr>
        <w:jc w:val="left"/>
      </w:pPr>
    </w:p>
    <w:p w14:paraId="7E5FB6D9" w14:textId="38F69CD1" w:rsidR="00C60BFD" w:rsidRDefault="00C60BFD" w:rsidP="00C60BFD">
      <w:pPr>
        <w:jc w:val="left"/>
      </w:pPr>
    </w:p>
    <w:p w14:paraId="35BADF04" w14:textId="0E98D8F4" w:rsidR="00C60BFD" w:rsidRDefault="00C60BFD" w:rsidP="00C60BFD">
      <w:pPr>
        <w:pStyle w:val="1"/>
      </w:pPr>
      <w:r>
        <w:rPr>
          <w:rFonts w:hint="eastAsia"/>
        </w:rPr>
        <w:t>六、参考文献</w:t>
      </w:r>
    </w:p>
    <w:p w14:paraId="74318DD4" w14:textId="09EABB1E" w:rsidR="00C60BFD" w:rsidRDefault="00C60BFD" w:rsidP="00C60BFD">
      <w:pPr>
        <w:ind w:left="420" w:hangingChars="200" w:hanging="420"/>
        <w:jc w:val="left"/>
      </w:pPr>
      <w:r>
        <w:t>[1</w:t>
      </w:r>
      <w:proofErr w:type="gramStart"/>
      <w:r>
        <w:t>]  Laine</w:t>
      </w:r>
      <w:proofErr w:type="gramEnd"/>
      <w:r>
        <w:t xml:space="preserve">, </w:t>
      </w:r>
      <w:proofErr w:type="spellStart"/>
      <w:r>
        <w:t>Samuli</w:t>
      </w:r>
      <w:proofErr w:type="spellEnd"/>
      <w:r>
        <w:t xml:space="preserve">, and Timo Aila. "Temporal </w:t>
      </w:r>
      <w:proofErr w:type="spellStart"/>
      <w:r>
        <w:t>Ensembling</w:t>
      </w:r>
      <w:proofErr w:type="spellEnd"/>
      <w:r>
        <w:t xml:space="preserve"> for Semi-Supervised Learning." </w:t>
      </w:r>
      <w:proofErr w:type="spellStart"/>
      <w:r w:rsidRPr="00C60BFD">
        <w:rPr>
          <w:i/>
          <w:iCs/>
        </w:rPr>
        <w:t>arXiv</w:t>
      </w:r>
      <w:proofErr w:type="spellEnd"/>
      <w:r w:rsidRPr="00C60BFD">
        <w:rPr>
          <w:i/>
          <w:iCs/>
        </w:rPr>
        <w:t xml:space="preserve"> preprint arXiv:1610.02242 (2016).</w:t>
      </w:r>
    </w:p>
    <w:p w14:paraId="67EACCAC" w14:textId="0D399CC1" w:rsidR="00C60BFD" w:rsidRDefault="00C60BFD" w:rsidP="00C60BFD">
      <w:pPr>
        <w:ind w:left="420" w:hangingChars="200" w:hanging="420"/>
        <w:jc w:val="left"/>
      </w:pPr>
      <w:r>
        <w:t>[2</w:t>
      </w:r>
      <w:proofErr w:type="gramStart"/>
      <w:r>
        <w:t xml:space="preserve">]  </w:t>
      </w:r>
      <w:proofErr w:type="spellStart"/>
      <w:r>
        <w:t>Miyato</w:t>
      </w:r>
      <w:proofErr w:type="gramEnd"/>
      <w:r>
        <w:t>,Takeru,Maeda,Shin-ichi,Koyama,Masanori,andIshii,Shin</w:t>
      </w:r>
      <w:proofErr w:type="spellEnd"/>
      <w:r>
        <w:t xml:space="preserve">. Virtual Adversarial Training: </w:t>
      </w:r>
      <w:proofErr w:type="gramStart"/>
      <w:r>
        <w:t>a</w:t>
      </w:r>
      <w:proofErr w:type="gramEnd"/>
      <w:r>
        <w:t xml:space="preserve"> Regularization Method for Supervised and Semi-supervised Learning. </w:t>
      </w:r>
      <w:r w:rsidRPr="00C60BFD">
        <w:rPr>
          <w:i/>
          <w:iCs/>
        </w:rPr>
        <w:t xml:space="preserve">arXiv:1704.03976 [cs, stat], April 2017. </w:t>
      </w:r>
      <w:proofErr w:type="spellStart"/>
      <w:r w:rsidRPr="00C60BFD">
        <w:rPr>
          <w:i/>
          <w:iCs/>
        </w:rPr>
        <w:t>arXiv</w:t>
      </w:r>
      <w:proofErr w:type="spellEnd"/>
      <w:r w:rsidRPr="00C60BFD">
        <w:rPr>
          <w:i/>
          <w:iCs/>
        </w:rPr>
        <w:t>: 1704.03976.</w:t>
      </w:r>
    </w:p>
    <w:p w14:paraId="4FBC25EA" w14:textId="01DCD9D6" w:rsidR="00C60BFD" w:rsidRDefault="00C60BFD" w:rsidP="00C60BFD">
      <w:pPr>
        <w:ind w:left="400" w:hangingChars="200" w:hanging="400"/>
        <w:jc w:val="left"/>
      </w:pPr>
      <w:r w:rsidRPr="00C60BFD">
        <w:rPr>
          <w:rFonts w:ascii="等线" w:eastAsia="等线" w:hAnsi="等线" w:cs="Times New Roman"/>
          <w:noProof/>
          <w:kern w:val="0"/>
          <w:sz w:val="20"/>
          <w:szCs w:val="24"/>
        </w:rPr>
        <w:t>[</w:t>
      </w:r>
      <w:r>
        <w:rPr>
          <w:rFonts w:ascii="等线" w:eastAsia="等线" w:hAnsi="等线" w:cs="Times New Roman" w:hint="eastAsia"/>
          <w:noProof/>
          <w:kern w:val="0"/>
          <w:sz w:val="20"/>
          <w:szCs w:val="24"/>
        </w:rPr>
        <w:t>3</w:t>
      </w:r>
      <w:r w:rsidRPr="00C60BFD">
        <w:rPr>
          <w:rFonts w:ascii="等线" w:eastAsia="等线" w:hAnsi="等线" w:cs="Times New Roman"/>
          <w:noProof/>
          <w:kern w:val="0"/>
          <w:sz w:val="20"/>
          <w:szCs w:val="24"/>
        </w:rPr>
        <w:t>]</w:t>
      </w:r>
      <w:r w:rsidRPr="00C60BFD">
        <w:rPr>
          <w:rFonts w:ascii="等线" w:eastAsia="等线" w:hAnsi="等线" w:cs="Times New Roman"/>
          <w:noProof/>
          <w:kern w:val="0"/>
          <w:sz w:val="20"/>
          <w:szCs w:val="24"/>
        </w:rPr>
        <w:tab/>
        <w:t xml:space="preserve">S. R. Bowman, L. Vilnis, O. Vinyals, A. M. Dai, R. Jozefowicz, and S. Bengio, “Generating sentences from a continuous space,” </w:t>
      </w:r>
      <w:r w:rsidRPr="00C60BFD">
        <w:rPr>
          <w:rFonts w:ascii="等线" w:eastAsia="等线" w:hAnsi="等线" w:cs="Times New Roman"/>
          <w:i/>
          <w:iCs/>
          <w:noProof/>
          <w:kern w:val="0"/>
          <w:sz w:val="20"/>
          <w:szCs w:val="24"/>
        </w:rPr>
        <w:t>CoNLL 2016 - 20th SIGNLL Conf. Comput. Nat. Lang. Learn. Proc.</w:t>
      </w:r>
      <w:r w:rsidRPr="00C60BFD">
        <w:rPr>
          <w:rFonts w:ascii="等线" w:eastAsia="等线" w:hAnsi="等线" w:cs="Times New Roman"/>
          <w:noProof/>
          <w:kern w:val="0"/>
          <w:sz w:val="20"/>
          <w:szCs w:val="24"/>
        </w:rPr>
        <w:t>, pp. 10–21, 2016.</w:t>
      </w:r>
    </w:p>
    <w:p w14:paraId="4B71EED5" w14:textId="0AAC85ED" w:rsidR="005B0C0C" w:rsidRPr="005B0C0C" w:rsidRDefault="00C60BFD" w:rsidP="005B0C0C">
      <w:pPr>
        <w:autoSpaceDE w:val="0"/>
        <w:autoSpaceDN w:val="0"/>
        <w:adjustRightInd w:val="0"/>
        <w:ind w:left="480" w:hanging="480"/>
        <w:jc w:val="left"/>
        <w:rPr>
          <w:rFonts w:ascii="等线" w:eastAsia="等线" w:hAnsi="等线"/>
          <w:noProof/>
          <w:sz w:val="20"/>
        </w:rPr>
      </w:pPr>
      <w:r>
        <w:t xml:space="preserve">[4]  </w:t>
      </w:r>
      <w:r>
        <w:fldChar w:fldCharType="begin" w:fldLock="1"/>
      </w:r>
      <w:r>
        <w:instrText xml:space="preserve">ADDIN Mendeley Bibliography CSL_BIBLIOGRAPHY </w:instrText>
      </w:r>
      <w:r>
        <w:fldChar w:fldCharType="separate"/>
      </w:r>
      <w:r w:rsidR="005B0C0C" w:rsidRPr="005B0C0C">
        <w:rPr>
          <w:rFonts w:ascii="等线" w:eastAsia="等线" w:hAnsi="等线" w:cs="Times New Roman"/>
          <w:noProof/>
          <w:kern w:val="0"/>
          <w:sz w:val="20"/>
          <w:szCs w:val="24"/>
        </w:rPr>
        <w:t xml:space="preserve">Selvaraju, R. R., Cogswell, M., Das, A., Vedantam, R., Parikh, D., &amp; Batra, D. (2017). Grad-CAM: Visual Explanations from Deep Networks via Gradient-Based Localization. </w:t>
      </w:r>
      <w:r w:rsidR="005B0C0C" w:rsidRPr="005B0C0C">
        <w:rPr>
          <w:rFonts w:ascii="等线" w:eastAsia="等线" w:hAnsi="等线" w:cs="Times New Roman"/>
          <w:i/>
          <w:iCs/>
          <w:noProof/>
          <w:kern w:val="0"/>
          <w:sz w:val="20"/>
          <w:szCs w:val="24"/>
        </w:rPr>
        <w:t>Proceedings of the IEEE International Conference on Computer Vision</w:t>
      </w:r>
      <w:r w:rsidR="005B0C0C" w:rsidRPr="005B0C0C">
        <w:rPr>
          <w:rFonts w:ascii="等线" w:eastAsia="等线" w:hAnsi="等线" w:cs="Times New Roman"/>
          <w:noProof/>
          <w:kern w:val="0"/>
          <w:sz w:val="20"/>
          <w:szCs w:val="24"/>
        </w:rPr>
        <w:t xml:space="preserve">, </w:t>
      </w:r>
      <w:r w:rsidR="005B0C0C" w:rsidRPr="005B0C0C">
        <w:rPr>
          <w:rFonts w:ascii="等线" w:eastAsia="等线" w:hAnsi="等线" w:cs="Times New Roman"/>
          <w:i/>
          <w:iCs/>
          <w:noProof/>
          <w:kern w:val="0"/>
          <w:sz w:val="20"/>
          <w:szCs w:val="24"/>
        </w:rPr>
        <w:t>2017</w:t>
      </w:r>
      <w:r w:rsidR="005B0C0C" w:rsidRPr="005B0C0C">
        <w:rPr>
          <w:rFonts w:ascii="等线" w:eastAsia="等线" w:hAnsi="等线" w:cs="Times New Roman"/>
          <w:noProof/>
          <w:kern w:val="0"/>
          <w:sz w:val="20"/>
          <w:szCs w:val="24"/>
        </w:rPr>
        <w:t>-</w:t>
      </w:r>
      <w:r w:rsidR="005B0C0C" w:rsidRPr="005B0C0C">
        <w:rPr>
          <w:rFonts w:ascii="等线" w:eastAsia="等线" w:hAnsi="等线" w:cs="Times New Roman"/>
          <w:i/>
          <w:iCs/>
          <w:noProof/>
          <w:kern w:val="0"/>
          <w:sz w:val="20"/>
          <w:szCs w:val="24"/>
        </w:rPr>
        <w:t>Octob</w:t>
      </w:r>
      <w:r w:rsidR="005B0C0C" w:rsidRPr="005B0C0C">
        <w:rPr>
          <w:rFonts w:ascii="等线" w:eastAsia="等线" w:hAnsi="等线" w:cs="Times New Roman"/>
          <w:noProof/>
          <w:kern w:val="0"/>
          <w:sz w:val="20"/>
          <w:szCs w:val="24"/>
        </w:rPr>
        <w:t>, 618–626. https://doi.org/10.1109/ICCV.2017.74</w:t>
      </w:r>
    </w:p>
    <w:p w14:paraId="45A9D728" w14:textId="16DC1DD3" w:rsidR="005B0C0C" w:rsidRPr="005B0C0C" w:rsidRDefault="00C60BFD" w:rsidP="005B0C0C">
      <w:pPr>
        <w:autoSpaceDE w:val="0"/>
        <w:autoSpaceDN w:val="0"/>
        <w:adjustRightInd w:val="0"/>
        <w:ind w:left="480" w:hanging="480"/>
        <w:jc w:val="left"/>
        <w:rPr>
          <w:rFonts w:ascii="等线" w:eastAsia="等线" w:hAnsi="等线"/>
          <w:noProof/>
          <w:sz w:val="20"/>
        </w:rPr>
      </w:pPr>
      <w:r>
        <w:fldChar w:fldCharType="end"/>
      </w:r>
      <w:r w:rsidR="005B0C0C">
        <w:t xml:space="preserve">[5]  </w:t>
      </w:r>
      <w:r w:rsidR="005B0C0C">
        <w:fldChar w:fldCharType="begin" w:fldLock="1"/>
      </w:r>
      <w:r w:rsidR="005B0C0C">
        <w:instrText xml:space="preserve">ADDIN Mendeley Bibliography CSL_BIBLIOGRAPHY </w:instrText>
      </w:r>
      <w:r w:rsidR="005B0C0C">
        <w:fldChar w:fldCharType="separate"/>
      </w:r>
      <w:r w:rsidR="005B0C0C" w:rsidRPr="005B0C0C">
        <w:rPr>
          <w:rFonts w:ascii="等线" w:eastAsia="等线" w:hAnsi="等线" w:cs="Times New Roman"/>
          <w:noProof/>
          <w:kern w:val="0"/>
          <w:sz w:val="20"/>
          <w:szCs w:val="24"/>
        </w:rPr>
        <w:t xml:space="preserve">Selvaraju, R. R., Cogswell, M., Das, A., Vedantam, R., Parikh, D., &amp; Batra, D. (2017). Grad-CAM: Visual Explanations from Deep Networks via Gradient-Based Localization. </w:t>
      </w:r>
      <w:r w:rsidR="005B0C0C" w:rsidRPr="005B0C0C">
        <w:rPr>
          <w:rFonts w:ascii="等线" w:eastAsia="等线" w:hAnsi="等线" w:cs="Times New Roman"/>
          <w:i/>
          <w:iCs/>
          <w:noProof/>
          <w:kern w:val="0"/>
          <w:sz w:val="20"/>
          <w:szCs w:val="24"/>
        </w:rPr>
        <w:t>Proceedings of the IEEE International Conference on Computer Vision</w:t>
      </w:r>
      <w:r w:rsidR="005B0C0C" w:rsidRPr="005B0C0C">
        <w:rPr>
          <w:rFonts w:ascii="等线" w:eastAsia="等线" w:hAnsi="等线" w:cs="Times New Roman"/>
          <w:noProof/>
          <w:kern w:val="0"/>
          <w:sz w:val="20"/>
          <w:szCs w:val="24"/>
        </w:rPr>
        <w:t xml:space="preserve">, </w:t>
      </w:r>
      <w:r w:rsidR="005B0C0C" w:rsidRPr="005B0C0C">
        <w:rPr>
          <w:rFonts w:ascii="等线" w:eastAsia="等线" w:hAnsi="等线" w:cs="Times New Roman"/>
          <w:i/>
          <w:iCs/>
          <w:noProof/>
          <w:kern w:val="0"/>
          <w:sz w:val="20"/>
          <w:szCs w:val="24"/>
        </w:rPr>
        <w:t>2017</w:t>
      </w:r>
      <w:r w:rsidR="005B0C0C" w:rsidRPr="005B0C0C">
        <w:rPr>
          <w:rFonts w:ascii="等线" w:eastAsia="等线" w:hAnsi="等线" w:cs="Times New Roman"/>
          <w:noProof/>
          <w:kern w:val="0"/>
          <w:sz w:val="20"/>
          <w:szCs w:val="24"/>
        </w:rPr>
        <w:t>-</w:t>
      </w:r>
      <w:r w:rsidR="005B0C0C" w:rsidRPr="005B0C0C">
        <w:rPr>
          <w:rFonts w:ascii="等线" w:eastAsia="等线" w:hAnsi="等线" w:cs="Times New Roman"/>
          <w:i/>
          <w:iCs/>
          <w:noProof/>
          <w:kern w:val="0"/>
          <w:sz w:val="20"/>
          <w:szCs w:val="24"/>
        </w:rPr>
        <w:t>Octob</w:t>
      </w:r>
      <w:r w:rsidR="005B0C0C" w:rsidRPr="005B0C0C">
        <w:rPr>
          <w:rFonts w:ascii="等线" w:eastAsia="等线" w:hAnsi="等线" w:cs="Times New Roman"/>
          <w:noProof/>
          <w:kern w:val="0"/>
          <w:sz w:val="20"/>
          <w:szCs w:val="24"/>
        </w:rPr>
        <w:t>, 618–626. https://doi.org/10.1109/ICCV.2017.74</w:t>
      </w:r>
    </w:p>
    <w:p w14:paraId="1B584C90" w14:textId="1570D789" w:rsidR="00C60BFD" w:rsidRDefault="005B0C0C" w:rsidP="005B0C0C">
      <w:pPr>
        <w:autoSpaceDE w:val="0"/>
        <w:autoSpaceDN w:val="0"/>
        <w:adjustRightInd w:val="0"/>
        <w:ind w:left="480" w:hanging="480"/>
        <w:jc w:val="left"/>
      </w:pPr>
      <w:r>
        <w:fldChar w:fldCharType="end"/>
      </w:r>
    </w:p>
    <w:sectPr w:rsidR="00C60B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7630B" w14:textId="77777777" w:rsidR="00030627" w:rsidRDefault="00030627" w:rsidP="00A755C1">
      <w:r>
        <w:separator/>
      </w:r>
    </w:p>
  </w:endnote>
  <w:endnote w:type="continuationSeparator" w:id="0">
    <w:p w14:paraId="5BA371B1" w14:textId="77777777" w:rsidR="00030627" w:rsidRDefault="00030627" w:rsidP="00A75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753B2" w14:textId="77777777" w:rsidR="00030627" w:rsidRDefault="00030627" w:rsidP="00A755C1">
      <w:r>
        <w:separator/>
      </w:r>
    </w:p>
  </w:footnote>
  <w:footnote w:type="continuationSeparator" w:id="0">
    <w:p w14:paraId="11EA6C57" w14:textId="77777777" w:rsidR="00030627" w:rsidRDefault="00030627" w:rsidP="00A75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26DE"/>
    <w:multiLevelType w:val="hybridMultilevel"/>
    <w:tmpl w:val="B302C816"/>
    <w:lvl w:ilvl="0" w:tplc="BD54C86E">
      <w:start w:val="1"/>
      <w:numFmt w:val="japaneseCounting"/>
      <w:lvlText w:val="%1、"/>
      <w:lvlJc w:val="left"/>
      <w:pPr>
        <w:ind w:left="870" w:hanging="8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0EB7180"/>
    <w:multiLevelType w:val="hybridMultilevel"/>
    <w:tmpl w:val="2286E060"/>
    <w:lvl w:ilvl="0" w:tplc="6EE25102">
      <w:start w:val="1"/>
      <w:numFmt w:val="japaneseCounting"/>
      <w:lvlText w:val="%1、"/>
      <w:lvlJc w:val="left"/>
      <w:pPr>
        <w:ind w:left="870" w:hanging="8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C6"/>
    <w:rsid w:val="00030627"/>
    <w:rsid w:val="00183E21"/>
    <w:rsid w:val="00205E32"/>
    <w:rsid w:val="003A23A1"/>
    <w:rsid w:val="00514B2F"/>
    <w:rsid w:val="00534A30"/>
    <w:rsid w:val="005B0C0C"/>
    <w:rsid w:val="006C29C6"/>
    <w:rsid w:val="0071144A"/>
    <w:rsid w:val="00725088"/>
    <w:rsid w:val="007722BF"/>
    <w:rsid w:val="0079490A"/>
    <w:rsid w:val="007D032B"/>
    <w:rsid w:val="008027E9"/>
    <w:rsid w:val="0087308B"/>
    <w:rsid w:val="00875B31"/>
    <w:rsid w:val="00877907"/>
    <w:rsid w:val="008D3AA3"/>
    <w:rsid w:val="00A33C17"/>
    <w:rsid w:val="00A603D0"/>
    <w:rsid w:val="00A755C1"/>
    <w:rsid w:val="00AE6D7F"/>
    <w:rsid w:val="00B13631"/>
    <w:rsid w:val="00C60BFD"/>
    <w:rsid w:val="00E7237C"/>
    <w:rsid w:val="00E85D86"/>
    <w:rsid w:val="00E926F7"/>
    <w:rsid w:val="00F05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5FAE14"/>
  <w15:chartTrackingRefBased/>
  <w15:docId w15:val="{471E1C72-4ED1-4813-A06D-F2A49DBD1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3E21"/>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A603D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55C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755C1"/>
    <w:rPr>
      <w:sz w:val="18"/>
      <w:szCs w:val="18"/>
    </w:rPr>
  </w:style>
  <w:style w:type="paragraph" w:styleId="a5">
    <w:name w:val="footer"/>
    <w:basedOn w:val="a"/>
    <w:link w:val="a6"/>
    <w:uiPriority w:val="99"/>
    <w:unhideWhenUsed/>
    <w:rsid w:val="00A755C1"/>
    <w:pPr>
      <w:tabs>
        <w:tab w:val="center" w:pos="4153"/>
        <w:tab w:val="right" w:pos="8306"/>
      </w:tabs>
      <w:snapToGrid w:val="0"/>
      <w:jc w:val="left"/>
    </w:pPr>
    <w:rPr>
      <w:sz w:val="18"/>
      <w:szCs w:val="18"/>
    </w:rPr>
  </w:style>
  <w:style w:type="character" w:customStyle="1" w:styleId="a6">
    <w:name w:val="页脚 字符"/>
    <w:basedOn w:val="a0"/>
    <w:link w:val="a5"/>
    <w:uiPriority w:val="99"/>
    <w:rsid w:val="00A755C1"/>
    <w:rPr>
      <w:sz w:val="18"/>
      <w:szCs w:val="18"/>
    </w:rPr>
  </w:style>
  <w:style w:type="paragraph" w:styleId="a7">
    <w:name w:val="Date"/>
    <w:basedOn w:val="a"/>
    <w:next w:val="a"/>
    <w:link w:val="a8"/>
    <w:uiPriority w:val="99"/>
    <w:semiHidden/>
    <w:unhideWhenUsed/>
    <w:rsid w:val="00725088"/>
    <w:pPr>
      <w:ind w:leftChars="2500" w:left="100"/>
    </w:pPr>
  </w:style>
  <w:style w:type="character" w:customStyle="1" w:styleId="a8">
    <w:name w:val="日期 字符"/>
    <w:basedOn w:val="a0"/>
    <w:link w:val="a7"/>
    <w:uiPriority w:val="99"/>
    <w:semiHidden/>
    <w:rsid w:val="00725088"/>
  </w:style>
  <w:style w:type="character" w:customStyle="1" w:styleId="10">
    <w:name w:val="标题 1 字符"/>
    <w:basedOn w:val="a0"/>
    <w:link w:val="1"/>
    <w:uiPriority w:val="9"/>
    <w:rsid w:val="00183E21"/>
    <w:rPr>
      <w:b/>
      <w:bCs/>
      <w:kern w:val="44"/>
      <w:sz w:val="44"/>
      <w:szCs w:val="44"/>
    </w:rPr>
  </w:style>
  <w:style w:type="character" w:customStyle="1" w:styleId="20">
    <w:name w:val="标题 2 字符"/>
    <w:basedOn w:val="a0"/>
    <w:link w:val="2"/>
    <w:uiPriority w:val="9"/>
    <w:rsid w:val="00A603D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F2204-E340-417E-87C3-CE2FD0915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dc:description/>
  <cp:lastModifiedBy>许 荣仁</cp:lastModifiedBy>
  <cp:revision>2</cp:revision>
  <dcterms:created xsi:type="dcterms:W3CDTF">2021-12-15T17:08:00Z</dcterms:created>
  <dcterms:modified xsi:type="dcterms:W3CDTF">2021-12-15T17:08:00Z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71aae85d-b2b7-3b48-bbf0-08b7fbb926fb</vt:lpwstr>
  </property>
  <property fmtid="{D5CDD505-2E9C-101B-9397-08002B2CF9AE}" pid="24" name="Mendeley Citation Style_1">
    <vt:lpwstr>http://www.zotero.org/styles/apa</vt:lpwstr>
  </property>
</Properties>
</file>