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BECD5B" w14:textId="35F18236" w:rsidR="00E146DE" w:rsidRDefault="00422147" w:rsidP="00422147">
      <w:pPr>
        <w:jc w:val="center"/>
        <w:rPr>
          <w:rFonts w:ascii="楷体" w:eastAsia="楷体" w:hAnsi="楷体"/>
          <w:sz w:val="52"/>
          <w:szCs w:val="52"/>
        </w:rPr>
      </w:pPr>
      <w:r w:rsidRPr="00422147">
        <w:rPr>
          <w:rFonts w:ascii="楷体" w:eastAsia="楷体" w:hAnsi="楷体" w:hint="eastAsia"/>
          <w:sz w:val="52"/>
          <w:szCs w:val="52"/>
        </w:rPr>
        <w:t>通过机器学习识别的小核仁</w:t>
      </w:r>
      <w:r w:rsidRPr="00422147">
        <w:rPr>
          <w:rFonts w:ascii="楷体" w:eastAsia="楷体" w:hAnsi="楷体"/>
          <w:sz w:val="52"/>
          <w:szCs w:val="52"/>
        </w:rPr>
        <w:t>RNA特征表达评分作为头颈癌的预后预测因子</w:t>
      </w:r>
    </w:p>
    <w:p w14:paraId="749F9564" w14:textId="293319A3" w:rsidR="00422147" w:rsidRDefault="00422147" w:rsidP="00422147">
      <w:pPr>
        <w:jc w:val="center"/>
        <w:rPr>
          <w:rFonts w:ascii="楷体" w:eastAsia="楷体" w:hAnsi="楷体"/>
          <w:sz w:val="52"/>
          <w:szCs w:val="52"/>
        </w:rPr>
      </w:pPr>
    </w:p>
    <w:p w14:paraId="286B42E1" w14:textId="77777777" w:rsidR="00422147" w:rsidRDefault="00422147" w:rsidP="00422147">
      <w:pPr>
        <w:jc w:val="center"/>
        <w:rPr>
          <w:rFonts w:ascii="楷体" w:eastAsia="楷体" w:hAnsi="楷体" w:hint="eastAsia"/>
          <w:sz w:val="52"/>
          <w:szCs w:val="52"/>
        </w:rPr>
      </w:pPr>
    </w:p>
    <w:tbl>
      <w:tblPr>
        <w:tblW w:w="5670" w:type="dxa"/>
        <w:jc w:val="center"/>
        <w:tblLayout w:type="fixed"/>
        <w:tblLook w:val="04A0" w:firstRow="1" w:lastRow="0" w:firstColumn="1" w:lastColumn="0" w:noHBand="0" w:noVBand="1"/>
      </w:tblPr>
      <w:tblGrid>
        <w:gridCol w:w="1418"/>
        <w:gridCol w:w="4252"/>
      </w:tblGrid>
      <w:tr w:rsidR="00422147" w:rsidRPr="00422147" w14:paraId="3937F2EB" w14:textId="77777777" w:rsidTr="00502FA7">
        <w:trPr>
          <w:trHeight w:val="674"/>
          <w:jc w:val="center"/>
        </w:trPr>
        <w:tc>
          <w:tcPr>
            <w:tcW w:w="1418" w:type="dxa"/>
            <w:shd w:val="clear" w:color="auto" w:fill="auto"/>
            <w:vAlign w:val="bottom"/>
          </w:tcPr>
          <w:p w14:paraId="26F19F24" w14:textId="77777777" w:rsidR="00422147" w:rsidRPr="00422147" w:rsidRDefault="00422147" w:rsidP="00422147">
            <w:pPr>
              <w:adjustRightInd w:val="0"/>
              <w:snapToGrid w:val="0"/>
              <w:jc w:val="distribute"/>
              <w:rPr>
                <w:rFonts w:ascii="黑体" w:eastAsia="黑体" w:hAnsi="黑体" w:cs="黑体"/>
                <w:b/>
                <w:bCs/>
                <w:spacing w:val="12"/>
                <w:sz w:val="52"/>
                <w:szCs w:val="32"/>
              </w:rPr>
            </w:pPr>
            <w:r w:rsidRPr="00422147">
              <w:rPr>
                <w:rFonts w:ascii="黑体" w:eastAsia="黑体" w:hAnsi="黑体" w:cs="黑体" w:hint="eastAsia"/>
                <w:kern w:val="0"/>
                <w:sz w:val="28"/>
                <w:szCs w:val="28"/>
              </w:rPr>
              <w:t>学院</w:t>
            </w:r>
          </w:p>
        </w:tc>
        <w:tc>
          <w:tcPr>
            <w:tcW w:w="4252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1E72E7EB" w14:textId="77777777" w:rsidR="00422147" w:rsidRPr="00422147" w:rsidRDefault="00422147" w:rsidP="00422147">
            <w:pPr>
              <w:adjustRightInd w:val="0"/>
              <w:snapToGrid w:val="0"/>
              <w:jc w:val="center"/>
              <w:rPr>
                <w:rFonts w:ascii="楷体" w:eastAsia="楷体" w:hAnsi="楷体" w:cs="黑体"/>
                <w:b/>
                <w:bCs/>
                <w:spacing w:val="12"/>
                <w:sz w:val="52"/>
                <w:szCs w:val="32"/>
              </w:rPr>
            </w:pPr>
            <w:r w:rsidRPr="00422147">
              <w:rPr>
                <w:rFonts w:ascii="楷体" w:eastAsia="楷体" w:hAnsi="楷体" w:cs="黑体" w:hint="eastAsia"/>
                <w:bCs/>
                <w:spacing w:val="12"/>
                <w:sz w:val="28"/>
                <w:szCs w:val="28"/>
              </w:rPr>
              <w:t>计算机科学与技术学院</w:t>
            </w:r>
          </w:p>
        </w:tc>
      </w:tr>
      <w:tr w:rsidR="00422147" w:rsidRPr="00422147" w14:paraId="00DA7F84" w14:textId="77777777" w:rsidTr="00502FA7">
        <w:trPr>
          <w:trHeight w:val="674"/>
          <w:jc w:val="center"/>
        </w:trPr>
        <w:tc>
          <w:tcPr>
            <w:tcW w:w="1418" w:type="dxa"/>
            <w:shd w:val="clear" w:color="auto" w:fill="auto"/>
            <w:vAlign w:val="bottom"/>
          </w:tcPr>
          <w:p w14:paraId="326F0554" w14:textId="77777777" w:rsidR="00422147" w:rsidRPr="00422147" w:rsidRDefault="00422147" w:rsidP="00422147">
            <w:pPr>
              <w:adjustRightInd w:val="0"/>
              <w:snapToGrid w:val="0"/>
              <w:jc w:val="distribute"/>
              <w:rPr>
                <w:rFonts w:ascii="黑体" w:eastAsia="黑体" w:hAnsi="黑体" w:cs="黑体"/>
                <w:b/>
                <w:bCs/>
                <w:spacing w:val="12"/>
                <w:sz w:val="52"/>
                <w:szCs w:val="32"/>
              </w:rPr>
            </w:pPr>
            <w:r w:rsidRPr="00422147">
              <w:rPr>
                <w:rFonts w:ascii="黑体" w:eastAsia="黑体" w:hAnsi="黑体" w:cs="黑体" w:hint="eastAsia"/>
                <w:kern w:val="0"/>
                <w:sz w:val="28"/>
                <w:szCs w:val="28"/>
              </w:rPr>
              <w:t>专业</w:t>
            </w:r>
          </w:p>
        </w:tc>
        <w:tc>
          <w:tcPr>
            <w:tcW w:w="425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682C26D4" w14:textId="2C50F426" w:rsidR="00422147" w:rsidRPr="00422147" w:rsidRDefault="00422147" w:rsidP="00422147">
            <w:pPr>
              <w:adjustRightInd w:val="0"/>
              <w:snapToGrid w:val="0"/>
              <w:jc w:val="center"/>
              <w:rPr>
                <w:rFonts w:ascii="楷体" w:eastAsia="楷体" w:hAnsi="楷体" w:cs="黑体"/>
                <w:bCs/>
                <w:spacing w:val="12"/>
                <w:sz w:val="28"/>
                <w:szCs w:val="28"/>
              </w:rPr>
            </w:pPr>
            <w:r w:rsidRPr="00422147">
              <w:rPr>
                <w:rFonts w:ascii="楷体" w:eastAsia="楷体" w:hAnsi="楷体" w:cs="黑体" w:hint="eastAsia"/>
                <w:bCs/>
                <w:spacing w:val="12"/>
                <w:sz w:val="28"/>
                <w:szCs w:val="28"/>
              </w:rPr>
              <w:t>计算机</w:t>
            </w:r>
            <w:r>
              <w:rPr>
                <w:rFonts w:ascii="楷体" w:eastAsia="楷体" w:hAnsi="楷体" w:cs="黑体" w:hint="eastAsia"/>
                <w:bCs/>
                <w:spacing w:val="12"/>
                <w:sz w:val="28"/>
                <w:szCs w:val="28"/>
              </w:rPr>
              <w:t>科学与</w:t>
            </w:r>
            <w:r w:rsidRPr="00422147">
              <w:rPr>
                <w:rFonts w:ascii="楷体" w:eastAsia="楷体" w:hAnsi="楷体" w:cs="黑体" w:hint="eastAsia"/>
                <w:bCs/>
                <w:spacing w:val="12"/>
                <w:sz w:val="28"/>
                <w:szCs w:val="28"/>
              </w:rPr>
              <w:t>技术</w:t>
            </w:r>
          </w:p>
        </w:tc>
      </w:tr>
      <w:tr w:rsidR="00422147" w:rsidRPr="00422147" w14:paraId="313781D5" w14:textId="77777777" w:rsidTr="00502FA7">
        <w:trPr>
          <w:trHeight w:val="674"/>
          <w:jc w:val="center"/>
        </w:trPr>
        <w:tc>
          <w:tcPr>
            <w:tcW w:w="1418" w:type="dxa"/>
            <w:shd w:val="clear" w:color="auto" w:fill="auto"/>
            <w:vAlign w:val="bottom"/>
          </w:tcPr>
          <w:p w14:paraId="595A9F07" w14:textId="77777777" w:rsidR="00422147" w:rsidRPr="00422147" w:rsidRDefault="00422147" w:rsidP="00422147">
            <w:pPr>
              <w:adjustRightInd w:val="0"/>
              <w:snapToGrid w:val="0"/>
              <w:jc w:val="distribute"/>
              <w:rPr>
                <w:rFonts w:ascii="黑体" w:eastAsia="黑体" w:hAnsi="黑体" w:cs="黑体"/>
                <w:b/>
                <w:bCs/>
                <w:spacing w:val="12"/>
                <w:sz w:val="52"/>
                <w:szCs w:val="32"/>
              </w:rPr>
            </w:pPr>
            <w:r w:rsidRPr="00422147">
              <w:rPr>
                <w:rFonts w:ascii="黑体" w:eastAsia="黑体" w:hAnsi="黑体" w:cs="黑体" w:hint="eastAsia"/>
                <w:kern w:val="0"/>
                <w:sz w:val="28"/>
                <w:szCs w:val="28"/>
              </w:rPr>
              <w:t>姓名</w:t>
            </w:r>
          </w:p>
        </w:tc>
        <w:tc>
          <w:tcPr>
            <w:tcW w:w="425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0493B29A" w14:textId="0D070D85" w:rsidR="00422147" w:rsidRPr="00422147" w:rsidRDefault="00422147" w:rsidP="00422147">
            <w:pPr>
              <w:adjustRightInd w:val="0"/>
              <w:snapToGrid w:val="0"/>
              <w:jc w:val="center"/>
              <w:rPr>
                <w:rFonts w:ascii="楷体" w:eastAsia="楷体" w:hAnsi="楷体" w:cs="黑体"/>
                <w:bCs/>
                <w:spacing w:val="12"/>
                <w:sz w:val="28"/>
                <w:szCs w:val="28"/>
              </w:rPr>
            </w:pPr>
            <w:proofErr w:type="gramStart"/>
            <w:r>
              <w:rPr>
                <w:rFonts w:ascii="楷体" w:eastAsia="楷体" w:hAnsi="楷体" w:cs="黑体" w:hint="eastAsia"/>
                <w:bCs/>
                <w:spacing w:val="12"/>
                <w:sz w:val="28"/>
                <w:szCs w:val="28"/>
              </w:rPr>
              <w:t>许荣仁</w:t>
            </w:r>
            <w:proofErr w:type="gramEnd"/>
          </w:p>
        </w:tc>
      </w:tr>
      <w:tr w:rsidR="00422147" w:rsidRPr="00422147" w14:paraId="7B2B6F1D" w14:textId="77777777" w:rsidTr="00502FA7">
        <w:trPr>
          <w:trHeight w:val="674"/>
          <w:jc w:val="center"/>
        </w:trPr>
        <w:tc>
          <w:tcPr>
            <w:tcW w:w="1418" w:type="dxa"/>
            <w:shd w:val="clear" w:color="auto" w:fill="auto"/>
            <w:vAlign w:val="bottom"/>
          </w:tcPr>
          <w:p w14:paraId="397C9196" w14:textId="77777777" w:rsidR="00422147" w:rsidRPr="00422147" w:rsidRDefault="00422147" w:rsidP="00422147">
            <w:pPr>
              <w:adjustRightInd w:val="0"/>
              <w:snapToGrid w:val="0"/>
              <w:jc w:val="distribute"/>
              <w:rPr>
                <w:rFonts w:ascii="黑体" w:eastAsia="黑体" w:hAnsi="黑体" w:cs="黑体"/>
                <w:b/>
                <w:bCs/>
                <w:spacing w:val="12"/>
                <w:sz w:val="52"/>
                <w:szCs w:val="32"/>
              </w:rPr>
            </w:pPr>
            <w:r w:rsidRPr="00422147">
              <w:rPr>
                <w:rFonts w:ascii="黑体" w:eastAsia="黑体" w:hAnsi="黑体" w:cs="黑体" w:hint="eastAsia"/>
                <w:kern w:val="0"/>
                <w:sz w:val="28"/>
                <w:szCs w:val="28"/>
              </w:rPr>
              <w:t>学号</w:t>
            </w:r>
          </w:p>
        </w:tc>
        <w:tc>
          <w:tcPr>
            <w:tcW w:w="425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7AE9ECB9" w14:textId="4A618D6F" w:rsidR="00422147" w:rsidRPr="00422147" w:rsidRDefault="00422147" w:rsidP="00422147">
            <w:pPr>
              <w:adjustRightInd w:val="0"/>
              <w:snapToGrid w:val="0"/>
              <w:jc w:val="center"/>
              <w:rPr>
                <w:rFonts w:ascii="Times New Roman" w:eastAsia="楷体" w:hAnsi="Times New Roman" w:cs="Times New Roman"/>
                <w:bCs/>
                <w:spacing w:val="12"/>
                <w:sz w:val="28"/>
                <w:szCs w:val="28"/>
              </w:rPr>
            </w:pPr>
            <w:r w:rsidRPr="00422147">
              <w:rPr>
                <w:rFonts w:ascii="Times New Roman" w:eastAsia="楷体" w:hAnsi="Times New Roman" w:cs="Times New Roman" w:hint="eastAsia"/>
                <w:bCs/>
                <w:spacing w:val="12"/>
                <w:sz w:val="28"/>
                <w:szCs w:val="28"/>
              </w:rPr>
              <w:t>SA</w:t>
            </w:r>
            <w:r>
              <w:rPr>
                <w:rFonts w:ascii="Times New Roman" w:eastAsia="楷体" w:hAnsi="Times New Roman" w:cs="Times New Roman"/>
                <w:bCs/>
                <w:spacing w:val="12"/>
                <w:sz w:val="28"/>
                <w:szCs w:val="28"/>
              </w:rPr>
              <w:t>21011147</w:t>
            </w:r>
          </w:p>
        </w:tc>
      </w:tr>
    </w:tbl>
    <w:p w14:paraId="19CFB45D" w14:textId="2ED03031" w:rsidR="00422147" w:rsidRDefault="00422147" w:rsidP="00422147">
      <w:pPr>
        <w:jc w:val="center"/>
        <w:rPr>
          <w:rFonts w:ascii="楷体" w:eastAsia="楷体" w:hAnsi="楷体"/>
          <w:sz w:val="52"/>
          <w:szCs w:val="52"/>
        </w:rPr>
      </w:pPr>
    </w:p>
    <w:p w14:paraId="03D585EC" w14:textId="317F521A" w:rsidR="00422147" w:rsidRDefault="00422147" w:rsidP="00422147">
      <w:pPr>
        <w:jc w:val="center"/>
        <w:rPr>
          <w:rFonts w:ascii="楷体" w:eastAsia="楷体" w:hAnsi="楷体"/>
          <w:sz w:val="52"/>
          <w:szCs w:val="52"/>
        </w:rPr>
      </w:pPr>
    </w:p>
    <w:p w14:paraId="7C7D7F17" w14:textId="758198C7" w:rsidR="00422147" w:rsidRDefault="00422147" w:rsidP="00422147">
      <w:pPr>
        <w:jc w:val="center"/>
        <w:rPr>
          <w:rFonts w:ascii="楷体" w:eastAsia="楷体" w:hAnsi="楷体"/>
          <w:sz w:val="52"/>
          <w:szCs w:val="52"/>
        </w:rPr>
      </w:pPr>
    </w:p>
    <w:p w14:paraId="07CEFB37" w14:textId="2A881645" w:rsidR="00422147" w:rsidRDefault="00422147" w:rsidP="00422147">
      <w:pPr>
        <w:jc w:val="center"/>
        <w:rPr>
          <w:rFonts w:ascii="楷体" w:eastAsia="楷体" w:hAnsi="楷体"/>
          <w:sz w:val="52"/>
          <w:szCs w:val="52"/>
        </w:rPr>
      </w:pPr>
    </w:p>
    <w:p w14:paraId="41CB0BC4" w14:textId="77777777" w:rsidR="00422147" w:rsidRDefault="00422147" w:rsidP="00422147">
      <w:pPr>
        <w:jc w:val="center"/>
        <w:rPr>
          <w:rFonts w:ascii="楷体" w:eastAsia="楷体" w:hAnsi="楷体" w:hint="eastAsia"/>
          <w:sz w:val="52"/>
          <w:szCs w:val="52"/>
        </w:rPr>
      </w:pPr>
    </w:p>
    <w:p w14:paraId="3391B3BF" w14:textId="05A965E6" w:rsidR="00422147" w:rsidRDefault="00422147" w:rsidP="00422147">
      <w:pPr>
        <w:jc w:val="center"/>
        <w:rPr>
          <w:rFonts w:ascii="楷体" w:eastAsia="楷体" w:hAnsi="楷体"/>
          <w:sz w:val="40"/>
          <w:szCs w:val="40"/>
        </w:rPr>
      </w:pPr>
    </w:p>
    <w:p w14:paraId="079951E2" w14:textId="1FF7FC5D" w:rsidR="00422147" w:rsidRDefault="00422147">
      <w:pPr>
        <w:widowControl/>
        <w:jc w:val="left"/>
        <w:rPr>
          <w:rFonts w:ascii="楷体" w:eastAsia="楷体" w:hAnsi="楷体"/>
          <w:sz w:val="40"/>
          <w:szCs w:val="40"/>
        </w:rPr>
      </w:pPr>
      <w:r>
        <w:rPr>
          <w:rFonts w:ascii="楷体" w:eastAsia="楷体" w:hAnsi="楷体"/>
          <w:sz w:val="40"/>
          <w:szCs w:val="40"/>
        </w:rPr>
        <w:br w:type="page"/>
      </w:r>
    </w:p>
    <w:p w14:paraId="731C4E62" w14:textId="7062D914" w:rsidR="00422147" w:rsidRPr="0082003D" w:rsidRDefault="00422147" w:rsidP="0082003D">
      <w:pPr>
        <w:pStyle w:val="1"/>
        <w:numPr>
          <w:ilvl w:val="0"/>
          <w:numId w:val="1"/>
        </w:numPr>
        <w:ind w:left="0" w:firstLine="0"/>
      </w:pPr>
      <w:r w:rsidRPr="0082003D">
        <w:rPr>
          <w:rFonts w:hint="eastAsia"/>
        </w:rPr>
        <w:lastRenderedPageBreak/>
        <w:t>概述</w:t>
      </w:r>
    </w:p>
    <w:p w14:paraId="55F62184" w14:textId="7E32BE64" w:rsidR="003A0230" w:rsidRDefault="003A0230" w:rsidP="003A0230">
      <w:pPr>
        <w:spacing w:line="300" w:lineRule="auto"/>
        <w:ind w:firstLineChars="200" w:firstLine="480"/>
        <w:jc w:val="left"/>
        <w:rPr>
          <w:rFonts w:ascii="宋体" w:eastAsia="宋体" w:hAnsi="宋体"/>
          <w:sz w:val="24"/>
          <w:szCs w:val="24"/>
        </w:rPr>
      </w:pPr>
      <w:r w:rsidRPr="003A0230">
        <w:rPr>
          <w:rFonts w:ascii="宋体" w:eastAsia="宋体" w:hAnsi="宋体" w:hint="eastAsia"/>
          <w:sz w:val="24"/>
          <w:szCs w:val="24"/>
        </w:rPr>
        <w:t>头颈部鳞状细胞癌（</w:t>
      </w:r>
      <w:r w:rsidRPr="003A0230">
        <w:rPr>
          <w:rFonts w:ascii="宋体" w:eastAsia="宋体" w:hAnsi="宋体"/>
          <w:sz w:val="24"/>
          <w:szCs w:val="24"/>
        </w:rPr>
        <w:t>HNSCC）是一种常见的恶性肿瘤，由于缺乏预测标志物，死亡率高，预后差。越来越多的证据表明小核仁RNA(snoRNA)在肿瘤发生中起着重要作用。本研究的目的是确定HNSCC的一种预后的snoRNA特征。通过Cox回归分析（单变量、最小绝对收缩和选择算子以及多变量）筛选与生存相关的snoRNA。预测值在不同的亚组中得到验证。通过</w:t>
      </w:r>
      <w:proofErr w:type="gramStart"/>
      <w:r w:rsidRPr="003A0230">
        <w:rPr>
          <w:rFonts w:ascii="宋体" w:eastAsia="宋体" w:hAnsi="宋体"/>
          <w:sz w:val="24"/>
          <w:szCs w:val="24"/>
        </w:rPr>
        <w:t>共表达</w:t>
      </w:r>
      <w:proofErr w:type="gramEnd"/>
      <w:r w:rsidRPr="003A0230">
        <w:rPr>
          <w:rFonts w:ascii="宋体" w:eastAsia="宋体" w:hAnsi="宋体"/>
          <w:sz w:val="24"/>
          <w:szCs w:val="24"/>
        </w:rPr>
        <w:t>分析和基因集富集分析（GSEA）探索生物学功能。</w:t>
      </w:r>
      <w:r w:rsidR="008441E3">
        <w:rPr>
          <w:rFonts w:ascii="宋体" w:eastAsia="宋体" w:hAnsi="宋体" w:hint="eastAsia"/>
          <w:sz w:val="24"/>
          <w:szCs w:val="24"/>
        </w:rPr>
        <w:t>共</w:t>
      </w:r>
      <w:r w:rsidRPr="003A0230">
        <w:rPr>
          <w:rFonts w:ascii="宋体" w:eastAsia="宋体" w:hAnsi="宋体"/>
          <w:sz w:val="24"/>
          <w:szCs w:val="24"/>
        </w:rPr>
        <w:t>鉴定</w:t>
      </w:r>
      <w:r w:rsidR="008441E3">
        <w:rPr>
          <w:rFonts w:ascii="宋体" w:eastAsia="宋体" w:hAnsi="宋体" w:hint="eastAsia"/>
          <w:sz w:val="24"/>
          <w:szCs w:val="24"/>
        </w:rPr>
        <w:t>出</w:t>
      </w:r>
      <w:r w:rsidRPr="003A0230">
        <w:rPr>
          <w:rFonts w:ascii="宋体" w:eastAsia="宋体" w:hAnsi="宋体"/>
          <w:sz w:val="24"/>
          <w:szCs w:val="24"/>
        </w:rPr>
        <w:t>113种与生存相关的snoRNA，一</w:t>
      </w:r>
      <w:r w:rsidR="008441E3">
        <w:rPr>
          <w:rFonts w:ascii="宋体" w:eastAsia="宋体" w:hAnsi="宋体" w:hint="eastAsia"/>
          <w:sz w:val="24"/>
          <w:szCs w:val="24"/>
        </w:rPr>
        <w:t>个</w:t>
      </w:r>
      <w:r>
        <w:rPr>
          <w:rFonts w:ascii="宋体" w:eastAsia="宋体" w:hAnsi="宋体" w:hint="eastAsia"/>
          <w:sz w:val="24"/>
          <w:szCs w:val="24"/>
        </w:rPr>
        <w:t>5</w:t>
      </w:r>
      <w:r>
        <w:rPr>
          <w:rFonts w:ascii="宋体" w:eastAsia="宋体" w:hAnsi="宋体"/>
          <w:sz w:val="24"/>
          <w:szCs w:val="24"/>
        </w:rPr>
        <w:t>-</w:t>
      </w:r>
      <w:r w:rsidRPr="003A0230">
        <w:rPr>
          <w:rFonts w:ascii="宋体" w:eastAsia="宋体" w:hAnsi="宋体"/>
          <w:sz w:val="24"/>
          <w:szCs w:val="24"/>
        </w:rPr>
        <w:t>snoRNA</w:t>
      </w:r>
      <w:r w:rsidR="008441E3">
        <w:rPr>
          <w:rFonts w:ascii="宋体" w:eastAsia="宋体" w:hAnsi="宋体" w:hint="eastAsia"/>
          <w:sz w:val="24"/>
          <w:szCs w:val="24"/>
        </w:rPr>
        <w:t>标记</w:t>
      </w:r>
      <w:r w:rsidR="008441E3" w:rsidRPr="008441E3">
        <w:rPr>
          <w:rFonts w:ascii="宋体" w:eastAsia="宋体" w:hAnsi="宋体" w:hint="eastAsia"/>
          <w:sz w:val="24"/>
          <w:szCs w:val="24"/>
        </w:rPr>
        <w:t>预测预后具有很高的敏感性和特异性</w:t>
      </w:r>
      <w:r w:rsidRPr="003A0230">
        <w:rPr>
          <w:rFonts w:ascii="宋体" w:eastAsia="宋体" w:hAnsi="宋体" w:hint="eastAsia"/>
          <w:sz w:val="24"/>
          <w:szCs w:val="24"/>
        </w:rPr>
        <w:t>。</w:t>
      </w:r>
      <w:r w:rsidR="008441E3">
        <w:rPr>
          <w:rFonts w:ascii="宋体" w:eastAsia="宋体" w:hAnsi="宋体" w:hint="eastAsia"/>
          <w:sz w:val="24"/>
          <w:szCs w:val="24"/>
        </w:rPr>
        <w:t>并且</w:t>
      </w:r>
      <w:r w:rsidRPr="003A0230">
        <w:rPr>
          <w:rFonts w:ascii="宋体" w:eastAsia="宋体" w:hAnsi="宋体" w:hint="eastAsia"/>
          <w:sz w:val="24"/>
          <w:szCs w:val="24"/>
        </w:rPr>
        <w:t>该</w:t>
      </w:r>
      <w:r>
        <w:rPr>
          <w:rFonts w:ascii="宋体" w:eastAsia="宋体" w:hAnsi="宋体" w:hint="eastAsia"/>
          <w:sz w:val="24"/>
          <w:szCs w:val="24"/>
        </w:rPr>
        <w:t>特征</w:t>
      </w:r>
      <w:r w:rsidR="008441E3">
        <w:rPr>
          <w:rFonts w:ascii="宋体" w:eastAsia="宋体" w:hAnsi="宋体" w:hint="eastAsia"/>
          <w:sz w:val="24"/>
          <w:szCs w:val="24"/>
        </w:rPr>
        <w:t>能</w:t>
      </w:r>
      <w:r w:rsidRPr="003A0230">
        <w:rPr>
          <w:rFonts w:ascii="宋体" w:eastAsia="宋体" w:hAnsi="宋体" w:hint="eastAsia"/>
          <w:sz w:val="24"/>
          <w:szCs w:val="24"/>
        </w:rPr>
        <w:t>适用于不同性别、年龄、阶段、等级和解剖细分的患者。</w:t>
      </w:r>
      <w:proofErr w:type="gramStart"/>
      <w:r w:rsidRPr="003A0230">
        <w:rPr>
          <w:rFonts w:ascii="宋体" w:eastAsia="宋体" w:hAnsi="宋体" w:hint="eastAsia"/>
          <w:sz w:val="24"/>
          <w:szCs w:val="24"/>
        </w:rPr>
        <w:t>共表达</w:t>
      </w:r>
      <w:proofErr w:type="gramEnd"/>
      <w:r w:rsidRPr="003A0230">
        <w:rPr>
          <w:rFonts w:ascii="宋体" w:eastAsia="宋体" w:hAnsi="宋体" w:hint="eastAsia"/>
          <w:sz w:val="24"/>
          <w:szCs w:val="24"/>
        </w:rPr>
        <w:t>分析和</w:t>
      </w:r>
      <w:r w:rsidRPr="003A0230">
        <w:rPr>
          <w:rFonts w:ascii="宋体" w:eastAsia="宋体" w:hAnsi="宋体"/>
          <w:sz w:val="24"/>
          <w:szCs w:val="24"/>
        </w:rPr>
        <w:t>GSEA显示5-snoRNA参与</w:t>
      </w:r>
      <w:r w:rsidR="008441E3">
        <w:rPr>
          <w:rFonts w:ascii="宋体" w:eastAsia="宋体" w:hAnsi="宋体" w:hint="eastAsia"/>
          <w:sz w:val="24"/>
          <w:szCs w:val="24"/>
        </w:rPr>
        <w:t>了</w:t>
      </w:r>
      <w:r w:rsidRPr="003A0230">
        <w:rPr>
          <w:rFonts w:ascii="宋体" w:eastAsia="宋体" w:hAnsi="宋体"/>
          <w:sz w:val="24"/>
          <w:szCs w:val="24"/>
        </w:rPr>
        <w:t>恶性表型</w:t>
      </w:r>
      <w:r w:rsidR="008441E3">
        <w:rPr>
          <w:rFonts w:ascii="宋体" w:eastAsia="宋体" w:hAnsi="宋体" w:hint="eastAsia"/>
          <w:sz w:val="24"/>
          <w:szCs w:val="24"/>
        </w:rPr>
        <w:t>的调控</w:t>
      </w:r>
      <w:r w:rsidRPr="003A0230">
        <w:rPr>
          <w:rFonts w:ascii="宋体" w:eastAsia="宋体" w:hAnsi="宋体"/>
          <w:sz w:val="24"/>
          <w:szCs w:val="24"/>
        </w:rPr>
        <w:t>和DNA/RNA编辑。这种5</w:t>
      </w:r>
      <w:r>
        <w:rPr>
          <w:rFonts w:ascii="宋体" w:eastAsia="宋体" w:hAnsi="宋体"/>
          <w:sz w:val="24"/>
          <w:szCs w:val="24"/>
        </w:rPr>
        <w:t>-</w:t>
      </w:r>
      <w:r w:rsidRPr="003A0230">
        <w:rPr>
          <w:rFonts w:ascii="宋体" w:eastAsia="宋体" w:hAnsi="宋体"/>
          <w:sz w:val="24"/>
          <w:szCs w:val="24"/>
        </w:rPr>
        <w:t>snoRNA特征</w:t>
      </w:r>
      <w:r w:rsidR="007E7FF8" w:rsidRPr="007E7FF8">
        <w:rPr>
          <w:rFonts w:ascii="宋体" w:eastAsia="宋体" w:hAnsi="宋体" w:hint="eastAsia"/>
          <w:sz w:val="24"/>
          <w:szCs w:val="24"/>
        </w:rPr>
        <w:t>不仅是一个有希望的预后和生存预测指标，而且也是一个潜在的患者分层管理的生物标志物。</w:t>
      </w:r>
    </w:p>
    <w:p w14:paraId="24E23150" w14:textId="3E84E314" w:rsidR="00B379AF" w:rsidRPr="0082003D" w:rsidRDefault="00B379AF" w:rsidP="0082003D">
      <w:pPr>
        <w:pStyle w:val="1"/>
        <w:numPr>
          <w:ilvl w:val="0"/>
          <w:numId w:val="1"/>
        </w:numPr>
        <w:ind w:left="0" w:firstLine="0"/>
      </w:pPr>
      <w:r w:rsidRPr="0082003D">
        <w:rPr>
          <w:rFonts w:hint="eastAsia"/>
        </w:rPr>
        <w:t>简介</w:t>
      </w:r>
    </w:p>
    <w:p w14:paraId="30D77657" w14:textId="61783DB7" w:rsidR="00B379AF" w:rsidRPr="00B379AF" w:rsidRDefault="00B379AF" w:rsidP="00B379AF">
      <w:pPr>
        <w:spacing w:line="300" w:lineRule="auto"/>
        <w:ind w:firstLineChars="200" w:firstLine="480"/>
        <w:jc w:val="left"/>
        <w:rPr>
          <w:rFonts w:ascii="宋体" w:eastAsia="宋体" w:hAnsi="宋体" w:hint="eastAsia"/>
          <w:sz w:val="24"/>
          <w:szCs w:val="24"/>
        </w:rPr>
      </w:pPr>
      <w:r w:rsidRPr="00B379AF">
        <w:rPr>
          <w:rFonts w:ascii="宋体" w:eastAsia="宋体" w:hAnsi="宋体" w:hint="eastAsia"/>
          <w:sz w:val="24"/>
          <w:szCs w:val="24"/>
        </w:rPr>
        <w:t>头颈</w:t>
      </w:r>
      <w:r w:rsidR="0066531D">
        <w:rPr>
          <w:rFonts w:ascii="宋体" w:eastAsia="宋体" w:hAnsi="宋体" w:hint="eastAsia"/>
          <w:sz w:val="24"/>
          <w:szCs w:val="24"/>
        </w:rPr>
        <w:t>鳞状细胞</w:t>
      </w:r>
      <w:r w:rsidRPr="00B379AF">
        <w:rPr>
          <w:rFonts w:ascii="宋体" w:eastAsia="宋体" w:hAnsi="宋体" w:hint="eastAsia"/>
          <w:sz w:val="24"/>
          <w:szCs w:val="24"/>
        </w:rPr>
        <w:t>癌</w:t>
      </w:r>
      <w:r w:rsidR="0066531D">
        <w:rPr>
          <w:rFonts w:ascii="宋体" w:eastAsia="宋体" w:hAnsi="宋体" w:hint="eastAsia"/>
          <w:sz w:val="24"/>
          <w:szCs w:val="24"/>
        </w:rPr>
        <w:t>是</w:t>
      </w:r>
      <w:r w:rsidRPr="00B379AF">
        <w:rPr>
          <w:rFonts w:ascii="宋体" w:eastAsia="宋体" w:hAnsi="宋体"/>
          <w:sz w:val="24"/>
          <w:szCs w:val="24"/>
        </w:rPr>
        <w:t>全球第六大常见癌症，每年诊断出超过600,000例，其中超过三分之一来自发展中国家。被诊断</w:t>
      </w:r>
      <w:r w:rsidR="0066531D">
        <w:rPr>
          <w:rFonts w:ascii="宋体" w:eastAsia="宋体" w:hAnsi="宋体" w:hint="eastAsia"/>
          <w:sz w:val="24"/>
          <w:szCs w:val="24"/>
        </w:rPr>
        <w:t>出的</w:t>
      </w:r>
      <w:r w:rsidRPr="00B379AF">
        <w:rPr>
          <w:rFonts w:ascii="宋体" w:eastAsia="宋体" w:hAnsi="宋体"/>
          <w:sz w:val="24"/>
          <w:szCs w:val="24"/>
        </w:rPr>
        <w:t>患者年龄约为60岁，男性发病率高于女性。每年造成约350,000人死亡，其高死亡率和不良预后对整个社会构成沉重负担。目前，HNSCC的主要治疗策略包括手术切除、放疗、化疗和生物治疗。然而，由于缺乏有效的预测标志物等早期诊断工具，大多数HNSCC患者被诊断为晚期，失去了早</w:t>
      </w:r>
      <w:r w:rsidRPr="00B379AF">
        <w:rPr>
          <w:rFonts w:ascii="宋体" w:eastAsia="宋体" w:hAnsi="宋体" w:hint="eastAsia"/>
          <w:sz w:val="24"/>
          <w:szCs w:val="24"/>
        </w:rPr>
        <w:t>期干预的最佳机会。此外，</w:t>
      </w:r>
      <w:r w:rsidR="0066531D">
        <w:rPr>
          <w:rFonts w:ascii="宋体" w:eastAsia="宋体" w:hAnsi="宋体" w:hint="eastAsia"/>
          <w:sz w:val="24"/>
          <w:szCs w:val="24"/>
        </w:rPr>
        <w:t>由于</w:t>
      </w:r>
      <w:r w:rsidR="0066531D" w:rsidRPr="00B379AF">
        <w:rPr>
          <w:rFonts w:ascii="宋体" w:eastAsia="宋体" w:hAnsi="宋体"/>
          <w:sz w:val="24"/>
          <w:szCs w:val="24"/>
        </w:rPr>
        <w:t>对患者诊断后的预后知之甚少</w:t>
      </w:r>
      <w:r w:rsidR="0066531D">
        <w:rPr>
          <w:rFonts w:ascii="宋体" w:eastAsia="宋体" w:hAnsi="宋体" w:hint="eastAsia"/>
          <w:sz w:val="24"/>
          <w:szCs w:val="24"/>
        </w:rPr>
        <w:t>，</w:t>
      </w:r>
      <w:r w:rsidRPr="00B379AF">
        <w:rPr>
          <w:rFonts w:ascii="宋体" w:eastAsia="宋体" w:hAnsi="宋体"/>
          <w:sz w:val="24"/>
          <w:szCs w:val="24"/>
        </w:rPr>
        <w:t>HNSCC患者</w:t>
      </w:r>
      <w:r w:rsidR="0066531D">
        <w:rPr>
          <w:rFonts w:ascii="宋体" w:eastAsia="宋体" w:hAnsi="宋体" w:hint="eastAsia"/>
          <w:sz w:val="24"/>
          <w:szCs w:val="24"/>
        </w:rPr>
        <w:t>往往</w:t>
      </w:r>
      <w:r w:rsidRPr="00B379AF">
        <w:rPr>
          <w:rFonts w:ascii="宋体" w:eastAsia="宋体" w:hAnsi="宋体"/>
          <w:sz w:val="24"/>
          <w:szCs w:val="24"/>
        </w:rPr>
        <w:t>管理不善，医疗资源分布不均。因此，尽管HNSCC的治疗管理最近取得了进展，但由于缺乏诊断和预后标志物，HNSCC患者的总生存</w:t>
      </w:r>
      <w:r w:rsidR="00B04555">
        <w:rPr>
          <w:rFonts w:ascii="宋体" w:eastAsia="宋体" w:hAnsi="宋体" w:hint="eastAsia"/>
          <w:sz w:val="24"/>
          <w:szCs w:val="24"/>
        </w:rPr>
        <w:t>期</w:t>
      </w:r>
      <w:r w:rsidRPr="00B379AF">
        <w:rPr>
          <w:rFonts w:ascii="宋体" w:eastAsia="宋体" w:hAnsi="宋体"/>
          <w:sz w:val="24"/>
          <w:szCs w:val="24"/>
        </w:rPr>
        <w:t>(OS)几乎没有改善，这意味着目前识别和应用HNSCC患者的早期诊断和预后</w:t>
      </w:r>
      <w:r w:rsidR="00B04555">
        <w:rPr>
          <w:rFonts w:ascii="宋体" w:eastAsia="宋体" w:hAnsi="宋体" w:hint="eastAsia"/>
          <w:sz w:val="24"/>
          <w:szCs w:val="24"/>
        </w:rPr>
        <w:t>标志相当</w:t>
      </w:r>
      <w:r w:rsidRPr="00B379AF">
        <w:rPr>
          <w:rFonts w:ascii="宋体" w:eastAsia="宋体" w:hAnsi="宋体"/>
          <w:sz w:val="24"/>
          <w:szCs w:val="24"/>
        </w:rPr>
        <w:t>紧迫。</w:t>
      </w:r>
    </w:p>
    <w:p w14:paraId="3FC06CC0" w14:textId="4729F970" w:rsidR="00B379AF" w:rsidRPr="00B379AF" w:rsidRDefault="00B379AF" w:rsidP="009F77B4">
      <w:pPr>
        <w:spacing w:line="300" w:lineRule="auto"/>
        <w:ind w:firstLineChars="200" w:firstLine="480"/>
        <w:jc w:val="left"/>
        <w:rPr>
          <w:rFonts w:ascii="宋体" w:eastAsia="宋体" w:hAnsi="宋体" w:hint="eastAsia"/>
          <w:sz w:val="24"/>
          <w:szCs w:val="24"/>
        </w:rPr>
      </w:pPr>
      <w:r w:rsidRPr="00B379AF">
        <w:rPr>
          <w:rFonts w:ascii="宋体" w:eastAsia="宋体" w:hAnsi="宋体" w:hint="eastAsia"/>
          <w:sz w:val="24"/>
          <w:szCs w:val="24"/>
        </w:rPr>
        <w:t>在过去几年中，非编码</w:t>
      </w:r>
      <w:r w:rsidRPr="00B379AF">
        <w:rPr>
          <w:rFonts w:ascii="宋体" w:eastAsia="宋体" w:hAnsi="宋体"/>
          <w:sz w:val="24"/>
          <w:szCs w:val="24"/>
        </w:rPr>
        <w:t>RNA尤其是miRNA和lncRNA已被揭示为诊断和预后疾病的有希望的生物标志物。然而，另一类非编码RNA，即小核仁RNA(snoRNA)长期以来普遍</w:t>
      </w:r>
      <w:r w:rsidR="00B04555">
        <w:rPr>
          <w:rFonts w:ascii="宋体" w:eastAsia="宋体" w:hAnsi="宋体" w:hint="eastAsia"/>
          <w:sz w:val="24"/>
          <w:szCs w:val="24"/>
        </w:rPr>
        <w:t>被</w:t>
      </w:r>
      <w:r w:rsidRPr="00B379AF">
        <w:rPr>
          <w:rFonts w:ascii="宋体" w:eastAsia="宋体" w:hAnsi="宋体"/>
          <w:sz w:val="24"/>
          <w:szCs w:val="24"/>
        </w:rPr>
        <w:t>认为只执行看家功能</w:t>
      </w:r>
      <w:r w:rsidR="00B04555" w:rsidRPr="00B379AF">
        <w:rPr>
          <w:rFonts w:ascii="宋体" w:eastAsia="宋体" w:hAnsi="宋体"/>
          <w:sz w:val="24"/>
          <w:szCs w:val="24"/>
        </w:rPr>
        <w:t>，很少被认为是癌症的生物标志物</w:t>
      </w:r>
      <w:r w:rsidRPr="00B379AF">
        <w:rPr>
          <w:rFonts w:ascii="宋体" w:eastAsia="宋体" w:hAnsi="宋体"/>
          <w:sz w:val="24"/>
          <w:szCs w:val="24"/>
        </w:rPr>
        <w:t>。snoRNA是长度为60-300个核苷酸的小RNA，主要存在于核仁中；它们是特征最好的非编码RNA类别之一，它们在rRNA生物发生中的功能已得到充分证明。越来越多的证据表明，snoRNAs在多</w:t>
      </w:r>
      <w:r w:rsidRPr="00B379AF">
        <w:rPr>
          <w:rFonts w:ascii="宋体" w:eastAsia="宋体" w:hAnsi="宋体" w:hint="eastAsia"/>
          <w:sz w:val="24"/>
          <w:szCs w:val="24"/>
        </w:rPr>
        <w:t>种肿瘤的</w:t>
      </w:r>
      <w:r w:rsidR="000A53EA">
        <w:rPr>
          <w:rFonts w:ascii="宋体" w:eastAsia="宋体" w:hAnsi="宋体" w:hint="eastAsia"/>
          <w:sz w:val="24"/>
          <w:szCs w:val="24"/>
        </w:rPr>
        <w:t>发生过程</w:t>
      </w:r>
      <w:r w:rsidRPr="00B379AF">
        <w:rPr>
          <w:rFonts w:ascii="宋体" w:eastAsia="宋体" w:hAnsi="宋体" w:hint="eastAsia"/>
          <w:sz w:val="24"/>
          <w:szCs w:val="24"/>
        </w:rPr>
        <w:t>中也发挥着重要作用。</w:t>
      </w:r>
      <w:r w:rsidRPr="00B379AF">
        <w:rPr>
          <w:rFonts w:ascii="宋体" w:eastAsia="宋体" w:hAnsi="宋体"/>
          <w:sz w:val="24"/>
          <w:szCs w:val="24"/>
        </w:rPr>
        <w:t>Dong等人已经表明snoRNAU50的突变或下调与恶性表型相关，并</w:t>
      </w:r>
      <w:r w:rsidR="0019112C">
        <w:rPr>
          <w:rFonts w:ascii="宋体" w:eastAsia="宋体" w:hAnsi="宋体" w:hint="eastAsia"/>
          <w:sz w:val="24"/>
          <w:szCs w:val="24"/>
        </w:rPr>
        <w:t>确定</w:t>
      </w:r>
      <w:r w:rsidRPr="00B379AF">
        <w:rPr>
          <w:rFonts w:ascii="宋体" w:eastAsia="宋体" w:hAnsi="宋体"/>
          <w:sz w:val="24"/>
          <w:szCs w:val="24"/>
        </w:rPr>
        <w:t>snoRNAU50</w:t>
      </w:r>
      <w:r w:rsidR="0019112C">
        <w:rPr>
          <w:rFonts w:ascii="宋体" w:eastAsia="宋体" w:hAnsi="宋体" w:hint="eastAsia"/>
          <w:sz w:val="24"/>
          <w:szCs w:val="24"/>
        </w:rPr>
        <w:t>是</w:t>
      </w:r>
      <w:r w:rsidRPr="00B379AF">
        <w:rPr>
          <w:rFonts w:ascii="宋体" w:eastAsia="宋体" w:hAnsi="宋体"/>
          <w:sz w:val="24"/>
          <w:szCs w:val="24"/>
        </w:rPr>
        <w:t>前列腺癌的候选肿瘤抑制基因。另一项研究侧重于SNORA42，</w:t>
      </w:r>
      <w:r w:rsidR="0019112C">
        <w:rPr>
          <w:rFonts w:ascii="宋体" w:eastAsia="宋体" w:hAnsi="宋体" w:hint="eastAsia"/>
          <w:sz w:val="24"/>
          <w:szCs w:val="24"/>
        </w:rPr>
        <w:t>它</w:t>
      </w:r>
      <w:r w:rsidRPr="00B379AF">
        <w:rPr>
          <w:rFonts w:ascii="宋体" w:eastAsia="宋体" w:hAnsi="宋体"/>
          <w:sz w:val="24"/>
          <w:szCs w:val="24"/>
        </w:rPr>
        <w:t>在非小细胞肺癌(NSCLC)中</w:t>
      </w:r>
      <w:r w:rsidR="0019112C">
        <w:rPr>
          <w:rFonts w:ascii="宋体" w:eastAsia="宋体" w:hAnsi="宋体" w:hint="eastAsia"/>
          <w:sz w:val="24"/>
          <w:szCs w:val="24"/>
        </w:rPr>
        <w:t>的</w:t>
      </w:r>
      <w:r w:rsidR="0019112C" w:rsidRPr="00B379AF">
        <w:rPr>
          <w:rFonts w:ascii="宋体" w:eastAsia="宋体" w:hAnsi="宋体"/>
          <w:sz w:val="24"/>
          <w:szCs w:val="24"/>
        </w:rPr>
        <w:t>表达</w:t>
      </w:r>
      <w:r w:rsidRPr="00B379AF">
        <w:rPr>
          <w:rFonts w:ascii="宋体" w:eastAsia="宋体" w:hAnsi="宋体"/>
          <w:sz w:val="24"/>
          <w:szCs w:val="24"/>
        </w:rPr>
        <w:t>经常增加，而小干扰RNA（siRNA）诱导的在</w:t>
      </w:r>
      <w:r w:rsidRPr="00B379AF">
        <w:rPr>
          <w:rFonts w:ascii="宋体" w:eastAsia="宋体" w:hAnsi="宋体"/>
          <w:sz w:val="24"/>
          <w:szCs w:val="24"/>
        </w:rPr>
        <w:lastRenderedPageBreak/>
        <w:t>NSCLC细胞系中低表达SNORA42能够在体外诱导细胞凋亡并减少集落形成，并在小鼠模型中观察到抑制肿瘤形成。此外，另一项研究发现SNORA42还充当结直肠癌</w:t>
      </w:r>
      <w:r w:rsidRPr="00B379AF">
        <w:rPr>
          <w:rFonts w:ascii="宋体" w:eastAsia="宋体" w:hAnsi="宋体" w:hint="eastAsia"/>
          <w:sz w:val="24"/>
          <w:szCs w:val="24"/>
        </w:rPr>
        <w:t>的致癌基因。根据</w:t>
      </w:r>
      <w:r w:rsidRPr="00B379AF">
        <w:rPr>
          <w:rFonts w:ascii="宋体" w:eastAsia="宋体" w:hAnsi="宋体"/>
          <w:sz w:val="24"/>
          <w:szCs w:val="24"/>
        </w:rPr>
        <w:t>Yoshida等人的说法，SNORA21具有作为结直肠癌预后生物标志物的潜力。最近，对人类癌症中snoRNA表达的系统性</w:t>
      </w:r>
      <w:proofErr w:type="gramStart"/>
      <w:r w:rsidRPr="00B379AF">
        <w:rPr>
          <w:rFonts w:ascii="宋体" w:eastAsia="宋体" w:hAnsi="宋体"/>
          <w:sz w:val="24"/>
          <w:szCs w:val="24"/>
        </w:rPr>
        <w:t>泛癌分析</w:t>
      </w:r>
      <w:proofErr w:type="gramEnd"/>
      <w:r w:rsidRPr="00B379AF">
        <w:rPr>
          <w:rFonts w:ascii="宋体" w:eastAsia="宋体" w:hAnsi="宋体"/>
          <w:sz w:val="24"/>
          <w:szCs w:val="24"/>
        </w:rPr>
        <w:t>强调snoRNA在癌症生物标志物或治疗靶标的开发和实施中的重要作用。考虑到snoRNA的小尺寸和稳定性，以及其在多种肿瘤中潜在作用的越来越多的证据</w:t>
      </w:r>
      <w:r w:rsidR="00C543FC">
        <w:rPr>
          <w:rFonts w:ascii="宋体" w:eastAsia="宋体" w:hAnsi="宋体" w:hint="eastAsia"/>
          <w:sz w:val="24"/>
          <w:szCs w:val="24"/>
        </w:rPr>
        <w:t>，</w:t>
      </w:r>
      <w:r w:rsidRPr="00B379AF">
        <w:rPr>
          <w:rFonts w:ascii="宋体" w:eastAsia="宋体" w:hAnsi="宋体"/>
          <w:sz w:val="24"/>
          <w:szCs w:val="24"/>
        </w:rPr>
        <w:t>snoRNA在肿瘤学领域越来越受到关注，并有可能作为诊断、预后和治疗靶点的生物标志物。</w:t>
      </w:r>
    </w:p>
    <w:p w14:paraId="40C7729E" w14:textId="3ABAE4F4" w:rsidR="00B379AF" w:rsidRDefault="00B379AF" w:rsidP="00B379AF">
      <w:pPr>
        <w:spacing w:line="300" w:lineRule="auto"/>
        <w:ind w:firstLineChars="200" w:firstLine="480"/>
        <w:jc w:val="left"/>
        <w:rPr>
          <w:rFonts w:ascii="宋体" w:eastAsia="宋体" w:hAnsi="宋体"/>
          <w:sz w:val="24"/>
          <w:szCs w:val="24"/>
        </w:rPr>
      </w:pPr>
      <w:r w:rsidRPr="00B379AF">
        <w:rPr>
          <w:rFonts w:ascii="宋体" w:eastAsia="宋体" w:hAnsi="宋体" w:hint="eastAsia"/>
          <w:sz w:val="24"/>
          <w:szCs w:val="24"/>
        </w:rPr>
        <w:t>在</w:t>
      </w:r>
      <w:r w:rsidR="009F77B4">
        <w:rPr>
          <w:rFonts w:ascii="宋体" w:eastAsia="宋体" w:hAnsi="宋体" w:hint="eastAsia"/>
          <w:sz w:val="24"/>
          <w:szCs w:val="24"/>
        </w:rPr>
        <w:t>本文</w:t>
      </w:r>
      <w:r w:rsidRPr="00B379AF">
        <w:rPr>
          <w:rFonts w:ascii="宋体" w:eastAsia="宋体" w:hAnsi="宋体" w:hint="eastAsia"/>
          <w:sz w:val="24"/>
          <w:szCs w:val="24"/>
        </w:rPr>
        <w:t>的研究中，首先进行了一系列机器学习分析，以探索和构建基于</w:t>
      </w:r>
      <w:r w:rsidRPr="00B379AF">
        <w:rPr>
          <w:rFonts w:ascii="宋体" w:eastAsia="宋体" w:hAnsi="宋体"/>
          <w:sz w:val="24"/>
          <w:szCs w:val="24"/>
        </w:rPr>
        <w:t>snoRNA的预后特征，预测510名HNSCC患者的存活率。使用单变量回归分析确定了与预后相关的snoRNA。然后，我们通过最小绝对收缩和选择算子(LASSO)回归和多元回归对重要的预后相关snoRNA进行降维，并构建了基于5-snoRNA的预后特征。最后，评估了这种预后模型的临床效用并探讨了其潜在功能。</w:t>
      </w:r>
      <w:r w:rsidR="009F77B4">
        <w:rPr>
          <w:rFonts w:ascii="宋体" w:eastAsia="宋体" w:hAnsi="宋体" w:hint="eastAsia"/>
          <w:sz w:val="24"/>
          <w:szCs w:val="24"/>
        </w:rPr>
        <w:t>该</w:t>
      </w:r>
      <w:r w:rsidRPr="00B379AF">
        <w:rPr>
          <w:rFonts w:ascii="宋体" w:eastAsia="宋体" w:hAnsi="宋体"/>
          <w:sz w:val="24"/>
          <w:szCs w:val="24"/>
        </w:rPr>
        <w:t>研究结果为snoRNA的临床意义提供了新的见解，并为预测和评估HNSCC患者的临床</w:t>
      </w:r>
      <w:r w:rsidRPr="00B379AF">
        <w:rPr>
          <w:rFonts w:ascii="宋体" w:eastAsia="宋体" w:hAnsi="宋体" w:hint="eastAsia"/>
          <w:sz w:val="24"/>
          <w:szCs w:val="24"/>
        </w:rPr>
        <w:t>结果提供了有希望的生物标志物</w:t>
      </w:r>
      <w:r>
        <w:rPr>
          <w:rFonts w:ascii="宋体" w:eastAsia="宋体" w:hAnsi="宋体" w:hint="eastAsia"/>
          <w:sz w:val="24"/>
          <w:szCs w:val="24"/>
        </w:rPr>
        <w:t>。</w:t>
      </w:r>
    </w:p>
    <w:p w14:paraId="2EEE350A" w14:textId="7CF26FE7" w:rsidR="009F77B4" w:rsidRPr="0082003D" w:rsidRDefault="00A60CF0" w:rsidP="0082003D">
      <w:pPr>
        <w:pStyle w:val="1"/>
        <w:numPr>
          <w:ilvl w:val="0"/>
          <w:numId w:val="1"/>
        </w:numPr>
        <w:ind w:left="0" w:firstLine="0"/>
      </w:pPr>
      <w:r w:rsidRPr="0082003D">
        <w:rPr>
          <w:rFonts w:hint="eastAsia"/>
        </w:rPr>
        <w:t>实验</w:t>
      </w:r>
      <w:r w:rsidR="00EE3BD2" w:rsidRPr="0082003D">
        <w:rPr>
          <w:rFonts w:hint="eastAsia"/>
        </w:rPr>
        <w:t>与结果</w:t>
      </w:r>
    </w:p>
    <w:p w14:paraId="2DA317BA" w14:textId="799F017F" w:rsidR="008B4898" w:rsidRDefault="005F3774" w:rsidP="009F77B4">
      <w:pPr>
        <w:spacing w:line="300" w:lineRule="auto"/>
        <w:ind w:firstLineChars="200" w:firstLine="480"/>
        <w:jc w:val="left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>本研究的流程图</w:t>
      </w:r>
      <w:r w:rsidR="00713795">
        <w:rPr>
          <w:rFonts w:ascii="宋体" w:eastAsia="宋体" w:hAnsi="宋体" w:hint="eastAsia"/>
          <w:sz w:val="24"/>
          <w:szCs w:val="24"/>
        </w:rPr>
        <w:t>1</w:t>
      </w:r>
      <w:r>
        <w:rPr>
          <w:rFonts w:ascii="宋体" w:eastAsia="宋体" w:hAnsi="宋体" w:hint="eastAsia"/>
          <w:sz w:val="24"/>
          <w:szCs w:val="24"/>
        </w:rPr>
        <w:t>如下：</w:t>
      </w:r>
    </w:p>
    <w:p w14:paraId="43ADEC61" w14:textId="02521BA2" w:rsidR="005F3774" w:rsidRDefault="005F3774" w:rsidP="00627AE8">
      <w:pPr>
        <w:spacing w:line="300" w:lineRule="auto"/>
        <w:jc w:val="center"/>
        <w:rPr>
          <w:rFonts w:ascii="宋体" w:eastAsia="宋体" w:hAnsi="宋体"/>
          <w:sz w:val="24"/>
          <w:szCs w:val="24"/>
        </w:rPr>
      </w:pPr>
      <w:r w:rsidRPr="002375D3">
        <w:rPr>
          <w:rFonts w:ascii="MS Gothic" w:hAnsi="MS Gothic" w:cs="MS Gothic"/>
        </w:rPr>
        <w:drawing>
          <wp:inline distT="0" distB="0" distL="0" distR="0" wp14:anchorId="22FAD9E3" wp14:editId="3E669AD1">
            <wp:extent cx="3572381" cy="3667125"/>
            <wp:effectExtent l="0" t="0" r="9525" b="0"/>
            <wp:docPr id="1" name="图片 1" descr="图示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图示&#10;&#10;描述已自动生成"/>
                    <pic:cNvPicPr/>
                  </pic:nvPicPr>
                  <pic:blipFill rotWithShape="1">
                    <a:blip r:embed="rId5"/>
                    <a:srcRect b="3734"/>
                    <a:stretch/>
                  </pic:blipFill>
                  <pic:spPr bwMode="auto">
                    <a:xfrm>
                      <a:off x="0" y="0"/>
                      <a:ext cx="3575294" cy="367011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DAD704E" w14:textId="7674CB0F" w:rsidR="00713795" w:rsidRPr="00713795" w:rsidRDefault="00713795" w:rsidP="00713795">
      <w:pPr>
        <w:spacing w:line="300" w:lineRule="auto"/>
        <w:jc w:val="center"/>
        <w:rPr>
          <w:rFonts w:ascii="宋体" w:eastAsia="宋体" w:hAnsi="宋体" w:hint="eastAsia"/>
          <w:szCs w:val="21"/>
        </w:rPr>
      </w:pPr>
      <w:r w:rsidRPr="00713795">
        <w:rPr>
          <w:rFonts w:ascii="宋体" w:eastAsia="宋体" w:hAnsi="宋体" w:hint="eastAsia"/>
          <w:szCs w:val="21"/>
        </w:rPr>
        <w:t>图1</w:t>
      </w:r>
      <w:r w:rsidRPr="00713795">
        <w:rPr>
          <w:rFonts w:ascii="宋体" w:eastAsia="宋体" w:hAnsi="宋体"/>
          <w:szCs w:val="21"/>
        </w:rPr>
        <w:t xml:space="preserve"> </w:t>
      </w:r>
      <w:r w:rsidRPr="00713795">
        <w:rPr>
          <w:rFonts w:ascii="宋体" w:eastAsia="宋体" w:hAnsi="宋体" w:hint="eastAsia"/>
          <w:szCs w:val="21"/>
        </w:rPr>
        <w:t>研究流程图</w:t>
      </w:r>
    </w:p>
    <w:p w14:paraId="58C0BEA1" w14:textId="6761CA84" w:rsidR="009F77B4" w:rsidRDefault="009F77B4" w:rsidP="009F77B4">
      <w:pPr>
        <w:spacing w:line="300" w:lineRule="auto"/>
        <w:ind w:firstLineChars="200" w:firstLine="480"/>
        <w:jc w:val="left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lastRenderedPageBreak/>
        <w:t>数据获取和处理。</w:t>
      </w:r>
    </w:p>
    <w:p w14:paraId="273720E1" w14:textId="1EF1CDD2" w:rsidR="009F77B4" w:rsidRDefault="009F77B4" w:rsidP="009F77B4">
      <w:pPr>
        <w:spacing w:line="300" w:lineRule="auto"/>
        <w:ind w:firstLineChars="200" w:firstLine="480"/>
        <w:jc w:val="left"/>
        <w:rPr>
          <w:rFonts w:ascii="宋体" w:eastAsia="宋体" w:hAnsi="宋体"/>
          <w:sz w:val="24"/>
          <w:szCs w:val="24"/>
        </w:rPr>
      </w:pPr>
      <w:r w:rsidRPr="009F77B4">
        <w:rPr>
          <w:rFonts w:ascii="宋体" w:eastAsia="宋体" w:hAnsi="宋体" w:hint="eastAsia"/>
          <w:sz w:val="24"/>
          <w:szCs w:val="24"/>
        </w:rPr>
        <w:t>我们使用公共数据库</w:t>
      </w:r>
      <w:proofErr w:type="spellStart"/>
      <w:r w:rsidRPr="009F77B4">
        <w:rPr>
          <w:rFonts w:ascii="宋体" w:eastAsia="宋体" w:hAnsi="宋体"/>
          <w:sz w:val="24"/>
          <w:szCs w:val="24"/>
        </w:rPr>
        <w:t>UCSCXena</w:t>
      </w:r>
      <w:proofErr w:type="spellEnd"/>
      <w:r w:rsidRPr="009F77B4">
        <w:rPr>
          <w:rFonts w:ascii="宋体" w:eastAsia="宋体" w:hAnsi="宋体"/>
          <w:sz w:val="24"/>
          <w:szCs w:val="24"/>
        </w:rPr>
        <w:t>下载头颈部鳞状细胞癌(HNSCC)蛋白质编码基因(PCG)表达数据，</w:t>
      </w:r>
      <w:r w:rsidR="008C3DA1">
        <w:rPr>
          <w:rFonts w:ascii="宋体" w:eastAsia="宋体" w:hAnsi="宋体" w:hint="eastAsia"/>
          <w:sz w:val="24"/>
          <w:szCs w:val="24"/>
        </w:rPr>
        <w:t>分别从</w:t>
      </w:r>
      <w:proofErr w:type="spellStart"/>
      <w:r w:rsidR="008C3DA1" w:rsidRPr="008C3DA1">
        <w:rPr>
          <w:rFonts w:ascii="宋体" w:eastAsia="宋体" w:hAnsi="宋体"/>
          <w:sz w:val="24"/>
          <w:szCs w:val="24"/>
        </w:rPr>
        <w:t>UCSCGenomeBrowser</w:t>
      </w:r>
      <w:proofErr w:type="spellEnd"/>
      <w:r w:rsidR="008C3DA1" w:rsidRPr="008C3DA1">
        <w:rPr>
          <w:rFonts w:ascii="宋体" w:eastAsia="宋体" w:hAnsi="宋体"/>
          <w:sz w:val="24"/>
          <w:szCs w:val="24"/>
        </w:rPr>
        <w:t>和GENCODE下载了403个和1,457个snoRNA基因的注释(Hg19)，并将它们合并为1,524个独特的snoRNA基因</w:t>
      </w:r>
      <w:r w:rsidR="00106B26">
        <w:rPr>
          <w:rFonts w:ascii="宋体" w:eastAsia="宋体" w:hAnsi="宋体" w:hint="eastAsia"/>
          <w:sz w:val="24"/>
          <w:szCs w:val="24"/>
        </w:rPr>
        <w:t>，从</w:t>
      </w:r>
      <w:proofErr w:type="spellStart"/>
      <w:r w:rsidR="00106B26">
        <w:rPr>
          <w:rFonts w:ascii="宋体" w:eastAsia="宋体" w:hAnsi="宋体" w:hint="eastAsia"/>
          <w:sz w:val="24"/>
          <w:szCs w:val="24"/>
        </w:rPr>
        <w:t>UCSCXena</w:t>
      </w:r>
      <w:proofErr w:type="spellEnd"/>
      <w:r w:rsidR="00106B26">
        <w:rPr>
          <w:rFonts w:ascii="宋体" w:eastAsia="宋体" w:hAnsi="宋体" w:hint="eastAsia"/>
          <w:sz w:val="24"/>
          <w:szCs w:val="24"/>
        </w:rPr>
        <w:t>获得相应患者随访信息</w:t>
      </w:r>
      <w:r w:rsidR="008C3DA1" w:rsidRPr="008C3DA1">
        <w:rPr>
          <w:rFonts w:ascii="宋体" w:eastAsia="宋体" w:hAnsi="宋体"/>
          <w:sz w:val="24"/>
          <w:szCs w:val="24"/>
        </w:rPr>
        <w:t>。</w:t>
      </w:r>
    </w:p>
    <w:p w14:paraId="33B7E156" w14:textId="21EA946D" w:rsidR="00106B26" w:rsidRDefault="00106B26" w:rsidP="009F77B4">
      <w:pPr>
        <w:spacing w:line="300" w:lineRule="auto"/>
        <w:ind w:firstLineChars="200" w:firstLine="480"/>
        <w:jc w:val="left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>预后模型构建</w:t>
      </w:r>
    </w:p>
    <w:p w14:paraId="3A6CE6CC" w14:textId="77777777" w:rsidR="00804427" w:rsidRDefault="001C6B93" w:rsidP="003E7CAB">
      <w:pPr>
        <w:spacing w:line="300" w:lineRule="auto"/>
        <w:ind w:firstLineChars="200" w:firstLine="480"/>
        <w:jc w:val="left"/>
        <w:rPr>
          <w:rFonts w:ascii="宋体" w:eastAsia="宋体" w:hAnsi="宋体"/>
          <w:sz w:val="24"/>
          <w:szCs w:val="24"/>
        </w:rPr>
      </w:pPr>
      <w:r w:rsidRPr="001C6B93">
        <w:rPr>
          <w:rFonts w:ascii="宋体" w:eastAsia="宋体" w:hAnsi="宋体" w:hint="eastAsia"/>
          <w:sz w:val="24"/>
          <w:szCs w:val="24"/>
        </w:rPr>
        <w:t>排除无临床信息的样本后，</w:t>
      </w:r>
      <w:r w:rsidRPr="001C6B93">
        <w:rPr>
          <w:rFonts w:ascii="宋体" w:eastAsia="宋体" w:hAnsi="宋体"/>
          <w:sz w:val="24"/>
          <w:szCs w:val="24"/>
        </w:rPr>
        <w:t>510名HNSCC患者参与预测模型的构建，并随机分为训练集和测试集（7：3）。</w:t>
      </w:r>
      <w:r w:rsidR="009966EB" w:rsidRPr="009966EB">
        <w:rPr>
          <w:rFonts w:ascii="宋体" w:eastAsia="宋体" w:hAnsi="宋体" w:hint="eastAsia"/>
          <w:sz w:val="24"/>
          <w:szCs w:val="24"/>
        </w:rPr>
        <w:t>利用</w:t>
      </w:r>
      <w:r w:rsidR="009966EB" w:rsidRPr="009966EB">
        <w:rPr>
          <w:rFonts w:ascii="宋体" w:eastAsia="宋体" w:hAnsi="宋体"/>
          <w:sz w:val="24"/>
          <w:szCs w:val="24"/>
        </w:rPr>
        <w:t>HNSCC患者的snoRNA表达</w:t>
      </w:r>
      <w:proofErr w:type="gramStart"/>
      <w:r w:rsidR="009966EB" w:rsidRPr="009966EB">
        <w:rPr>
          <w:rFonts w:ascii="宋体" w:eastAsia="宋体" w:hAnsi="宋体"/>
          <w:sz w:val="24"/>
          <w:szCs w:val="24"/>
        </w:rPr>
        <w:t>谱及其</w:t>
      </w:r>
      <w:proofErr w:type="gramEnd"/>
      <w:r w:rsidR="009966EB" w:rsidRPr="009966EB">
        <w:rPr>
          <w:rFonts w:ascii="宋体" w:eastAsia="宋体" w:hAnsi="宋体"/>
          <w:sz w:val="24"/>
          <w:szCs w:val="24"/>
        </w:rPr>
        <w:t>临床病理特征鉴定与生存相关的snoRNA</w:t>
      </w:r>
      <w:r w:rsidR="009966EB">
        <w:rPr>
          <w:rFonts w:ascii="宋体" w:eastAsia="宋体" w:hAnsi="宋体" w:hint="eastAsia"/>
          <w:sz w:val="24"/>
          <w:szCs w:val="24"/>
        </w:rPr>
        <w:t>。</w:t>
      </w:r>
      <w:r w:rsidR="008C7A2A" w:rsidRPr="008C7A2A">
        <w:rPr>
          <w:rFonts w:ascii="宋体" w:eastAsia="宋体" w:hAnsi="宋体" w:hint="eastAsia"/>
          <w:sz w:val="24"/>
          <w:szCs w:val="24"/>
        </w:rPr>
        <w:t>然后筛选出</w:t>
      </w:r>
      <w:r w:rsidR="008C7A2A" w:rsidRPr="008C7A2A">
        <w:rPr>
          <w:rFonts w:ascii="宋体" w:eastAsia="宋体" w:hAnsi="宋体"/>
          <w:sz w:val="24"/>
          <w:szCs w:val="24"/>
        </w:rPr>
        <w:t>p&lt;0.05的snoRNAs作为候选snoRNAs</w:t>
      </w:r>
      <w:r w:rsidR="00750E1A">
        <w:rPr>
          <w:rFonts w:ascii="宋体" w:eastAsia="宋体" w:hAnsi="宋体" w:hint="eastAsia"/>
          <w:sz w:val="24"/>
          <w:szCs w:val="24"/>
        </w:rPr>
        <w:t>。</w:t>
      </w:r>
      <w:r w:rsidR="002A65BC">
        <w:rPr>
          <w:rFonts w:ascii="宋体" w:eastAsia="宋体" w:hAnsi="宋体" w:hint="eastAsia"/>
          <w:sz w:val="24"/>
          <w:szCs w:val="24"/>
        </w:rPr>
        <w:t>共鉴定出1</w:t>
      </w:r>
      <w:r w:rsidR="002A65BC">
        <w:rPr>
          <w:rFonts w:ascii="宋体" w:eastAsia="宋体" w:hAnsi="宋体"/>
          <w:sz w:val="24"/>
          <w:szCs w:val="24"/>
        </w:rPr>
        <w:t>13</w:t>
      </w:r>
      <w:r w:rsidR="002A65BC">
        <w:rPr>
          <w:rFonts w:ascii="宋体" w:eastAsia="宋体" w:hAnsi="宋体" w:hint="eastAsia"/>
          <w:sz w:val="24"/>
          <w:szCs w:val="24"/>
        </w:rPr>
        <w:t>个snoRNA</w:t>
      </w:r>
      <w:r w:rsidR="008472CE">
        <w:rPr>
          <w:rFonts w:ascii="宋体" w:eastAsia="宋体" w:hAnsi="宋体" w:hint="eastAsia"/>
          <w:sz w:val="24"/>
          <w:szCs w:val="24"/>
        </w:rPr>
        <w:t>。</w:t>
      </w:r>
      <w:r w:rsidR="00750E1A">
        <w:rPr>
          <w:rFonts w:ascii="宋体" w:eastAsia="宋体" w:hAnsi="宋体" w:hint="eastAsia"/>
          <w:sz w:val="24"/>
          <w:szCs w:val="24"/>
        </w:rPr>
        <w:t>然后</w:t>
      </w:r>
      <w:r w:rsidR="008C7A2A" w:rsidRPr="008C7A2A">
        <w:rPr>
          <w:rFonts w:ascii="宋体" w:eastAsia="宋体" w:hAnsi="宋体"/>
          <w:sz w:val="24"/>
          <w:szCs w:val="24"/>
        </w:rPr>
        <w:t>进行</w:t>
      </w:r>
      <w:r w:rsidR="00FC77A4">
        <w:rPr>
          <w:rFonts w:ascii="宋体" w:eastAsia="宋体" w:hAnsi="宋体" w:hint="eastAsia"/>
          <w:sz w:val="24"/>
          <w:szCs w:val="24"/>
        </w:rPr>
        <w:t>LASSO</w:t>
      </w:r>
      <w:r w:rsidR="000D2F85">
        <w:rPr>
          <w:rFonts w:ascii="宋体" w:eastAsia="宋体" w:hAnsi="宋体" w:hint="eastAsia"/>
          <w:sz w:val="24"/>
          <w:szCs w:val="24"/>
        </w:rPr>
        <w:t>回归</w:t>
      </w:r>
      <w:r w:rsidR="00A91C0A">
        <w:rPr>
          <w:rFonts w:ascii="宋体" w:eastAsia="宋体" w:hAnsi="宋体" w:hint="eastAsia"/>
          <w:sz w:val="24"/>
          <w:szCs w:val="24"/>
        </w:rPr>
        <w:t>，识别出最</w:t>
      </w:r>
      <w:r w:rsidR="00A60CF0">
        <w:rPr>
          <w:rFonts w:ascii="宋体" w:eastAsia="宋体" w:hAnsi="宋体" w:hint="eastAsia"/>
          <w:sz w:val="24"/>
          <w:szCs w:val="24"/>
        </w:rPr>
        <w:t>可能的预后标记snoRNA</w:t>
      </w:r>
      <w:r w:rsidR="008C7A2A" w:rsidRPr="008C7A2A">
        <w:rPr>
          <w:rFonts w:ascii="宋体" w:eastAsia="宋体" w:hAnsi="宋体"/>
          <w:sz w:val="24"/>
          <w:szCs w:val="24"/>
        </w:rPr>
        <w:t>。</w:t>
      </w:r>
      <w:r w:rsidR="0010252F">
        <w:rPr>
          <w:rFonts w:ascii="宋体" w:eastAsia="宋体" w:hAnsi="宋体" w:hint="eastAsia"/>
          <w:sz w:val="24"/>
          <w:szCs w:val="24"/>
        </w:rPr>
        <w:t>共识别</w:t>
      </w:r>
      <w:r w:rsidR="00363A65">
        <w:rPr>
          <w:rFonts w:ascii="宋体" w:eastAsia="宋体" w:hAnsi="宋体" w:hint="eastAsia"/>
          <w:sz w:val="24"/>
          <w:szCs w:val="24"/>
        </w:rPr>
        <w:t>了</w:t>
      </w:r>
      <w:r w:rsidR="0010252F">
        <w:rPr>
          <w:rFonts w:ascii="宋体" w:eastAsia="宋体" w:hAnsi="宋体" w:hint="eastAsia"/>
          <w:sz w:val="24"/>
          <w:szCs w:val="24"/>
        </w:rPr>
        <w:t>出</w:t>
      </w:r>
      <w:r w:rsidR="00363A65">
        <w:rPr>
          <w:rFonts w:ascii="宋体" w:eastAsia="宋体" w:hAnsi="宋体"/>
          <w:sz w:val="24"/>
          <w:szCs w:val="24"/>
        </w:rPr>
        <w:t>19</w:t>
      </w:r>
      <w:r w:rsidR="00363A65">
        <w:rPr>
          <w:rFonts w:ascii="宋体" w:eastAsia="宋体" w:hAnsi="宋体" w:hint="eastAsia"/>
          <w:sz w:val="24"/>
          <w:szCs w:val="24"/>
        </w:rPr>
        <w:t>种snoRNA，将这</w:t>
      </w:r>
      <w:r w:rsidR="00363A65">
        <w:rPr>
          <w:rFonts w:ascii="宋体" w:eastAsia="宋体" w:hAnsi="宋体"/>
          <w:sz w:val="24"/>
          <w:szCs w:val="24"/>
        </w:rPr>
        <w:t>19</w:t>
      </w:r>
      <w:r w:rsidR="00363A65">
        <w:rPr>
          <w:rFonts w:ascii="宋体" w:eastAsia="宋体" w:hAnsi="宋体" w:hint="eastAsia"/>
          <w:sz w:val="24"/>
          <w:szCs w:val="24"/>
        </w:rPr>
        <w:t>种snoRNA</w:t>
      </w:r>
      <w:r w:rsidR="000C04FF">
        <w:rPr>
          <w:rFonts w:ascii="宋体" w:eastAsia="宋体" w:hAnsi="宋体" w:hint="eastAsia"/>
          <w:sz w:val="24"/>
          <w:szCs w:val="24"/>
        </w:rPr>
        <w:t>进行多变量Cox回归分析，</w:t>
      </w:r>
      <w:r w:rsidR="00D102DA">
        <w:rPr>
          <w:rFonts w:ascii="宋体" w:eastAsia="宋体" w:hAnsi="宋体" w:hint="eastAsia"/>
          <w:sz w:val="24"/>
          <w:szCs w:val="24"/>
        </w:rPr>
        <w:t>得到了基于</w:t>
      </w:r>
      <w:r w:rsidR="00BD088B">
        <w:rPr>
          <w:rFonts w:ascii="宋体" w:eastAsia="宋体" w:hAnsi="宋体" w:hint="eastAsia"/>
          <w:sz w:val="24"/>
          <w:szCs w:val="24"/>
        </w:rPr>
        <w:t>5</w:t>
      </w:r>
      <w:r w:rsidR="00D102DA">
        <w:rPr>
          <w:rFonts w:ascii="宋体" w:eastAsia="宋体" w:hAnsi="宋体" w:hint="eastAsia"/>
          <w:sz w:val="24"/>
          <w:szCs w:val="24"/>
        </w:rPr>
        <w:t>个</w:t>
      </w:r>
      <w:r w:rsidR="00BD088B">
        <w:rPr>
          <w:rFonts w:ascii="宋体" w:eastAsia="宋体" w:hAnsi="宋体" w:hint="eastAsia"/>
          <w:sz w:val="24"/>
          <w:szCs w:val="24"/>
        </w:rPr>
        <w:t>snoRNA</w:t>
      </w:r>
      <w:r w:rsidR="00D102DA">
        <w:rPr>
          <w:rFonts w:ascii="宋体" w:eastAsia="宋体" w:hAnsi="宋体" w:hint="eastAsia"/>
          <w:sz w:val="24"/>
          <w:szCs w:val="24"/>
        </w:rPr>
        <w:t>的风险模型</w:t>
      </w:r>
      <w:r w:rsidR="004E7F08">
        <w:rPr>
          <w:rFonts w:ascii="宋体" w:eastAsia="宋体" w:hAnsi="宋体" w:hint="eastAsia"/>
          <w:sz w:val="24"/>
          <w:szCs w:val="24"/>
        </w:rPr>
        <w:t>。</w:t>
      </w:r>
    </w:p>
    <w:p w14:paraId="47509D2E" w14:textId="2D04E381" w:rsidR="00804427" w:rsidRDefault="00804427" w:rsidP="003E7CAB">
      <w:pPr>
        <w:spacing w:line="300" w:lineRule="auto"/>
        <w:ind w:firstLineChars="200" w:firstLine="480"/>
        <w:jc w:val="left"/>
        <w:rPr>
          <w:rFonts w:ascii="宋体" w:eastAsia="宋体" w:hAnsi="宋体" w:hint="eastAsia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>模型</w:t>
      </w:r>
      <w:r w:rsidR="0075647E">
        <w:rPr>
          <w:rFonts w:ascii="宋体" w:eastAsia="宋体" w:hAnsi="宋体" w:hint="eastAsia"/>
          <w:sz w:val="24"/>
          <w:szCs w:val="24"/>
        </w:rPr>
        <w:t>性能评价</w:t>
      </w:r>
    </w:p>
    <w:p w14:paraId="52A2D802" w14:textId="1A0DA2DB" w:rsidR="003E7CAB" w:rsidRDefault="004C6009" w:rsidP="003E7CAB">
      <w:pPr>
        <w:spacing w:line="300" w:lineRule="auto"/>
        <w:ind w:firstLineChars="200" w:firstLine="480"/>
        <w:jc w:val="left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>根据此模型将患者分为</w:t>
      </w:r>
      <w:proofErr w:type="gramStart"/>
      <w:r>
        <w:rPr>
          <w:rFonts w:ascii="宋体" w:eastAsia="宋体" w:hAnsi="宋体" w:hint="eastAsia"/>
          <w:sz w:val="24"/>
          <w:szCs w:val="24"/>
        </w:rPr>
        <w:t>低危组</w:t>
      </w:r>
      <w:proofErr w:type="gramEnd"/>
      <w:r>
        <w:rPr>
          <w:rFonts w:ascii="宋体" w:eastAsia="宋体" w:hAnsi="宋体" w:hint="eastAsia"/>
          <w:sz w:val="24"/>
          <w:szCs w:val="24"/>
        </w:rPr>
        <w:t>和高危组</w:t>
      </w:r>
      <w:r w:rsidR="0060046D">
        <w:rPr>
          <w:rFonts w:ascii="宋体" w:eastAsia="宋体" w:hAnsi="宋体" w:hint="eastAsia"/>
          <w:sz w:val="24"/>
          <w:szCs w:val="24"/>
        </w:rPr>
        <w:t>。</w:t>
      </w:r>
      <w:r w:rsidR="000F3BD9" w:rsidRPr="000F3BD9">
        <w:rPr>
          <w:rFonts w:ascii="宋体" w:eastAsia="宋体" w:hAnsi="宋体" w:hint="eastAsia"/>
          <w:sz w:val="24"/>
          <w:szCs w:val="24"/>
        </w:rPr>
        <w:t>为了揭示</w:t>
      </w:r>
      <w:r w:rsidR="000F3BD9" w:rsidRPr="000F3BD9">
        <w:rPr>
          <w:rFonts w:ascii="宋体" w:eastAsia="宋体" w:hAnsi="宋体"/>
          <w:sz w:val="24"/>
          <w:szCs w:val="24"/>
        </w:rPr>
        <w:t>5-snoRNA特征的潜在预后价值，对训练集进行了Kaplan-Meier生存分析</w:t>
      </w:r>
      <w:r w:rsidR="00243BF9">
        <w:rPr>
          <w:rFonts w:ascii="宋体" w:eastAsia="宋体" w:hAnsi="宋体" w:hint="eastAsia"/>
          <w:sz w:val="24"/>
          <w:szCs w:val="24"/>
        </w:rPr>
        <w:t>，结果如图2所示</w:t>
      </w:r>
      <w:r w:rsidR="000F3BD9" w:rsidRPr="000F3BD9">
        <w:rPr>
          <w:rFonts w:ascii="宋体" w:eastAsia="宋体" w:hAnsi="宋体"/>
          <w:sz w:val="24"/>
          <w:szCs w:val="24"/>
        </w:rPr>
        <w:t>，高危组患者的预后明显较差。</w:t>
      </w:r>
      <w:r w:rsidR="003E7CAB" w:rsidRPr="003E7CAB">
        <w:rPr>
          <w:rFonts w:ascii="宋体" w:eastAsia="宋体" w:hAnsi="宋体" w:hint="eastAsia"/>
          <w:sz w:val="24"/>
          <w:szCs w:val="24"/>
        </w:rPr>
        <w:t>为了确定其他可能的因素，如性别、年龄、临床阶段、组织学等级和其他影响患者生存的临床特征，还根据上述变量对患者进行分组，然后我们将</w:t>
      </w:r>
      <w:r w:rsidR="003E7CAB" w:rsidRPr="003E7CAB">
        <w:rPr>
          <w:rFonts w:ascii="宋体" w:eastAsia="宋体" w:hAnsi="宋体"/>
          <w:sz w:val="24"/>
          <w:szCs w:val="24"/>
        </w:rPr>
        <w:t>5-snoRNA特征应用于不同的亚组。</w:t>
      </w:r>
    </w:p>
    <w:p w14:paraId="5EDF4851" w14:textId="2D5CAE7C" w:rsidR="007C2169" w:rsidRDefault="0047008F" w:rsidP="00243BF9">
      <w:pPr>
        <w:spacing w:line="300" w:lineRule="auto"/>
        <w:jc w:val="center"/>
        <w:rPr>
          <w:rFonts w:ascii="宋体" w:eastAsia="宋体" w:hAnsi="宋体"/>
          <w:sz w:val="24"/>
          <w:szCs w:val="24"/>
        </w:rPr>
      </w:pPr>
      <w:r w:rsidRPr="0047008F">
        <w:rPr>
          <w:rFonts w:ascii="宋体" w:eastAsia="宋体" w:hAnsi="宋体"/>
          <w:sz w:val="24"/>
          <w:szCs w:val="24"/>
        </w:rPr>
        <w:drawing>
          <wp:inline distT="0" distB="0" distL="0" distR="0" wp14:anchorId="579E9F44" wp14:editId="2BF073A6">
            <wp:extent cx="3295915" cy="2967355"/>
            <wp:effectExtent l="0" t="0" r="0" b="444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301115" cy="29720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1233CB" w14:textId="208F509D" w:rsidR="0047008F" w:rsidRPr="00243BF9" w:rsidRDefault="0047008F" w:rsidP="00243BF9">
      <w:pPr>
        <w:spacing w:line="300" w:lineRule="auto"/>
        <w:jc w:val="center"/>
        <w:rPr>
          <w:rFonts w:ascii="宋体" w:eastAsia="宋体" w:hAnsi="宋体" w:hint="eastAsia"/>
          <w:szCs w:val="21"/>
        </w:rPr>
      </w:pPr>
      <w:r w:rsidRPr="00243BF9">
        <w:rPr>
          <w:rFonts w:ascii="宋体" w:eastAsia="宋体" w:hAnsi="宋体" w:hint="eastAsia"/>
          <w:szCs w:val="21"/>
        </w:rPr>
        <w:t>图2</w:t>
      </w:r>
      <w:r w:rsidRPr="00243BF9">
        <w:rPr>
          <w:rFonts w:ascii="宋体" w:eastAsia="宋体" w:hAnsi="宋体"/>
          <w:szCs w:val="21"/>
        </w:rPr>
        <w:t xml:space="preserve"> </w:t>
      </w:r>
      <w:r w:rsidRPr="00243BF9">
        <w:rPr>
          <w:rFonts w:ascii="宋体" w:eastAsia="宋体" w:hAnsi="宋体" w:hint="eastAsia"/>
          <w:szCs w:val="21"/>
        </w:rPr>
        <w:t>高风险组和低风险组的生存曲线</w:t>
      </w:r>
    </w:p>
    <w:p w14:paraId="496115C8" w14:textId="3D8CB27D" w:rsidR="003E12BC" w:rsidRPr="003E12BC" w:rsidRDefault="003E7CAB" w:rsidP="003E12BC">
      <w:pPr>
        <w:spacing w:line="300" w:lineRule="auto"/>
        <w:ind w:firstLineChars="200" w:firstLine="480"/>
        <w:jc w:val="left"/>
        <w:rPr>
          <w:rFonts w:ascii="宋体" w:eastAsia="宋体" w:hAnsi="宋体"/>
          <w:sz w:val="24"/>
          <w:szCs w:val="24"/>
        </w:rPr>
      </w:pPr>
      <w:r w:rsidRPr="003E7CAB">
        <w:rPr>
          <w:rFonts w:ascii="宋体" w:eastAsia="宋体" w:hAnsi="宋体" w:hint="eastAsia"/>
          <w:sz w:val="24"/>
          <w:szCs w:val="24"/>
        </w:rPr>
        <w:t>由于不同亚组之间的差异可能会影响预后生物标志物的性能。就性别亚组而言，</w:t>
      </w:r>
      <w:r w:rsidRPr="003E7CAB">
        <w:rPr>
          <w:rFonts w:ascii="宋体" w:eastAsia="宋体" w:hAnsi="宋体"/>
          <w:sz w:val="24"/>
          <w:szCs w:val="24"/>
        </w:rPr>
        <w:t>HNSCC队列中有372名男性和138名女性，在风险评分分布方面没有显着差异。此外，高危患者在男性和女性组中的</w:t>
      </w:r>
      <w:r w:rsidR="0075647E">
        <w:rPr>
          <w:rFonts w:ascii="宋体" w:eastAsia="宋体" w:hAnsi="宋体" w:hint="eastAsia"/>
          <w:sz w:val="24"/>
          <w:szCs w:val="24"/>
        </w:rPr>
        <w:t>总生存期</w:t>
      </w:r>
      <w:r w:rsidRPr="003E7CAB">
        <w:rPr>
          <w:rFonts w:ascii="宋体" w:eastAsia="宋体" w:hAnsi="宋体"/>
          <w:sz w:val="24"/>
          <w:szCs w:val="24"/>
        </w:rPr>
        <w:t>也显着缩短，这意味着5-snoRNA特征与性别无关。</w:t>
      </w:r>
      <w:r w:rsidR="003E12BC" w:rsidRPr="003E12BC">
        <w:rPr>
          <w:rFonts w:ascii="宋体" w:eastAsia="宋体" w:hAnsi="宋体" w:hint="eastAsia"/>
          <w:sz w:val="24"/>
          <w:szCs w:val="24"/>
        </w:rPr>
        <w:t>年轻（≤</w:t>
      </w:r>
      <w:r w:rsidR="003E12BC" w:rsidRPr="003E12BC">
        <w:rPr>
          <w:rFonts w:ascii="宋体" w:eastAsia="宋体" w:hAnsi="宋体"/>
          <w:sz w:val="24"/>
          <w:szCs w:val="24"/>
        </w:rPr>
        <w:t>60岁，N=251）和年长（&gt;60岁，N=259）患者的风险评分分布也没有显着差异。类似地，在该亚组之间，低风险患者的总生存期显着延长，表明five-snoRNA特征在年龄亚组中的独立性。</w:t>
      </w:r>
    </w:p>
    <w:p w14:paraId="2C8D7FC9" w14:textId="25B1F5E2" w:rsidR="003E12BC" w:rsidRPr="003E12BC" w:rsidRDefault="003E12BC" w:rsidP="003E12BC">
      <w:pPr>
        <w:spacing w:line="300" w:lineRule="auto"/>
        <w:ind w:firstLineChars="200" w:firstLine="480"/>
        <w:jc w:val="left"/>
        <w:rPr>
          <w:rFonts w:ascii="宋体" w:eastAsia="宋体" w:hAnsi="宋体"/>
          <w:sz w:val="24"/>
          <w:szCs w:val="24"/>
        </w:rPr>
      </w:pPr>
      <w:r w:rsidRPr="003E12BC">
        <w:rPr>
          <w:rFonts w:ascii="宋体" w:eastAsia="宋体" w:hAnsi="宋体" w:hint="eastAsia"/>
          <w:sz w:val="24"/>
          <w:szCs w:val="24"/>
        </w:rPr>
        <w:t>至于组织学分级亚组，患者分为</w:t>
      </w:r>
      <w:r w:rsidRPr="003E12BC">
        <w:rPr>
          <w:rFonts w:ascii="宋体" w:eastAsia="宋体" w:hAnsi="宋体"/>
          <w:sz w:val="24"/>
          <w:szCs w:val="24"/>
        </w:rPr>
        <w:t>1/2级和3/4级组。与1级和2级患者相比，3/4级亚组的OS显着缩短。这些组之间的风险评分分布也没有显着差异。无论肿瘤分级如何，高危组和</w:t>
      </w:r>
      <w:proofErr w:type="gramStart"/>
      <w:r w:rsidRPr="003E12BC">
        <w:rPr>
          <w:rFonts w:ascii="宋体" w:eastAsia="宋体" w:hAnsi="宋体"/>
          <w:sz w:val="24"/>
          <w:szCs w:val="24"/>
        </w:rPr>
        <w:t>低危组</w:t>
      </w:r>
      <w:proofErr w:type="gramEnd"/>
      <w:r w:rsidRPr="003E12BC">
        <w:rPr>
          <w:rFonts w:ascii="宋体" w:eastAsia="宋体" w:hAnsi="宋体"/>
          <w:sz w:val="24"/>
          <w:szCs w:val="24"/>
        </w:rPr>
        <w:t>的总生存率显着不同，表明5-snoRNA特征是独立于组织学分级的预测因子。</w:t>
      </w:r>
    </w:p>
    <w:p w14:paraId="4B6C0B99" w14:textId="2BAC583D" w:rsidR="003E12BC" w:rsidRPr="003E12BC" w:rsidRDefault="003E12BC" w:rsidP="003E12BC">
      <w:pPr>
        <w:spacing w:line="300" w:lineRule="auto"/>
        <w:ind w:firstLineChars="200" w:firstLine="480"/>
        <w:jc w:val="left"/>
        <w:rPr>
          <w:rFonts w:ascii="宋体" w:eastAsia="宋体" w:hAnsi="宋体"/>
          <w:sz w:val="24"/>
          <w:szCs w:val="24"/>
        </w:rPr>
      </w:pPr>
      <w:r w:rsidRPr="003E12BC">
        <w:rPr>
          <w:rFonts w:ascii="宋体" w:eastAsia="宋体" w:hAnsi="宋体" w:hint="eastAsia"/>
          <w:sz w:val="24"/>
          <w:szCs w:val="24"/>
        </w:rPr>
        <w:t>根据临床分期，将患者分为临床</w:t>
      </w:r>
      <w:r w:rsidRPr="003E12BC">
        <w:rPr>
          <w:rFonts w:ascii="宋体" w:eastAsia="宋体" w:hAnsi="宋体"/>
          <w:sz w:val="24"/>
          <w:szCs w:val="24"/>
        </w:rPr>
        <w:t>I/II期和III/IV期组，观察到了相似的风险评分。此外，在III/IV期和I/II期亚组中，高危组患者的预后明显</w:t>
      </w:r>
      <w:proofErr w:type="gramStart"/>
      <w:r w:rsidRPr="003E12BC">
        <w:rPr>
          <w:rFonts w:ascii="宋体" w:eastAsia="宋体" w:hAnsi="宋体"/>
          <w:sz w:val="24"/>
          <w:szCs w:val="24"/>
        </w:rPr>
        <w:t>低于低危</w:t>
      </w:r>
      <w:proofErr w:type="gramEnd"/>
      <w:r w:rsidRPr="003E12BC">
        <w:rPr>
          <w:rFonts w:ascii="宋体" w:eastAsia="宋体" w:hAnsi="宋体"/>
          <w:sz w:val="24"/>
          <w:szCs w:val="24"/>
        </w:rPr>
        <w:t>组，表明5-snoRNA特征</w:t>
      </w:r>
      <w:proofErr w:type="gramStart"/>
      <w:r w:rsidRPr="003E12BC">
        <w:rPr>
          <w:rFonts w:ascii="宋体" w:eastAsia="宋体" w:hAnsi="宋体"/>
          <w:sz w:val="24"/>
          <w:szCs w:val="24"/>
        </w:rPr>
        <w:t>在阶段</w:t>
      </w:r>
      <w:proofErr w:type="gramEnd"/>
      <w:r w:rsidRPr="003E12BC">
        <w:rPr>
          <w:rFonts w:ascii="宋体" w:eastAsia="宋体" w:hAnsi="宋体"/>
          <w:sz w:val="24"/>
          <w:szCs w:val="24"/>
        </w:rPr>
        <w:t>亚组中的良好表现。</w:t>
      </w:r>
    </w:p>
    <w:p w14:paraId="59D9B920" w14:textId="30F501CD" w:rsidR="00F23CAB" w:rsidRDefault="003E12BC" w:rsidP="003E12BC">
      <w:pPr>
        <w:spacing w:line="300" w:lineRule="auto"/>
        <w:ind w:firstLineChars="200" w:firstLine="480"/>
        <w:jc w:val="left"/>
        <w:rPr>
          <w:rFonts w:ascii="宋体" w:eastAsia="宋体" w:hAnsi="宋体"/>
          <w:sz w:val="24"/>
          <w:szCs w:val="24"/>
        </w:rPr>
      </w:pPr>
      <w:r w:rsidRPr="003E12BC">
        <w:rPr>
          <w:rFonts w:ascii="宋体" w:eastAsia="宋体" w:hAnsi="宋体" w:hint="eastAsia"/>
          <w:sz w:val="24"/>
          <w:szCs w:val="24"/>
        </w:rPr>
        <w:t>根据解剖肿瘤细分，将患者分为口腔组和其他组。</w:t>
      </w:r>
      <w:r w:rsidRPr="003E12BC">
        <w:rPr>
          <w:rFonts w:ascii="宋体" w:eastAsia="宋体" w:hAnsi="宋体"/>
          <w:sz w:val="24"/>
          <w:szCs w:val="24"/>
        </w:rPr>
        <w:t>然而，在解剖细分之间观察到显着差异（p&lt;.05）。同样，无论细分如何，高风险组和低风险组的OS都存在显着差异，表明其独立性。简而言之，5-snoRNA特征可以应用于基于临床病理特征分层的HNSCC患者亚组，并且是HNSCC的独立预后特征。</w:t>
      </w:r>
      <w:r w:rsidR="00B62605" w:rsidRPr="00B62605">
        <w:rPr>
          <w:rFonts w:ascii="宋体" w:eastAsia="宋体" w:hAnsi="宋体" w:hint="eastAsia"/>
          <w:sz w:val="24"/>
          <w:szCs w:val="24"/>
        </w:rPr>
        <w:t>构建多变量</w:t>
      </w:r>
      <w:r w:rsidR="00B62605" w:rsidRPr="00B62605">
        <w:rPr>
          <w:rFonts w:ascii="宋体" w:eastAsia="宋体" w:hAnsi="宋体"/>
          <w:sz w:val="24"/>
          <w:szCs w:val="24"/>
        </w:rPr>
        <w:t>Cox比例风险回归模型，将一些临床病理特征（年龄、解剖</w:t>
      </w:r>
      <w:r w:rsidR="00B62605" w:rsidRPr="00B62605">
        <w:rPr>
          <w:rFonts w:ascii="宋体" w:eastAsia="宋体" w:hAnsi="宋体"/>
          <w:sz w:val="24"/>
          <w:szCs w:val="24"/>
        </w:rPr>
        <w:lastRenderedPageBreak/>
        <w:t>亚组、性别、临床分期和组织学分级）与5-snoRNA特征相结合，用于预测患者的预后1、3和5年生存概率。绘制列线图以可视化该模型，并为每一项指定分数</w:t>
      </w:r>
      <w:r w:rsidR="009C3EF6">
        <w:rPr>
          <w:rFonts w:ascii="宋体" w:eastAsia="宋体" w:hAnsi="宋体" w:hint="eastAsia"/>
          <w:sz w:val="24"/>
          <w:szCs w:val="24"/>
        </w:rPr>
        <w:t>（</w:t>
      </w:r>
      <w:r w:rsidR="000F3C61">
        <w:rPr>
          <w:rFonts w:ascii="宋体" w:eastAsia="宋体" w:hAnsi="宋体" w:hint="eastAsia"/>
          <w:sz w:val="24"/>
          <w:szCs w:val="24"/>
        </w:rPr>
        <w:t>图3</w:t>
      </w:r>
      <w:r w:rsidR="009C3EF6">
        <w:rPr>
          <w:rFonts w:ascii="宋体" w:eastAsia="宋体" w:hAnsi="宋体" w:hint="eastAsia"/>
          <w:sz w:val="24"/>
          <w:szCs w:val="24"/>
        </w:rPr>
        <w:t>）</w:t>
      </w:r>
      <w:r w:rsidR="00B62605" w:rsidRPr="00B62605">
        <w:rPr>
          <w:rFonts w:ascii="宋体" w:eastAsia="宋体" w:hAnsi="宋体"/>
          <w:sz w:val="24"/>
          <w:szCs w:val="24"/>
        </w:rPr>
        <w:t>。可以得出结论，在预测患者的存活率方面，5-snoRNA特征独立于其他临床病理特征。</w:t>
      </w:r>
    </w:p>
    <w:p w14:paraId="7DEC7767" w14:textId="22106E5B" w:rsidR="00035F19" w:rsidRDefault="00035F19" w:rsidP="00035F19">
      <w:pPr>
        <w:spacing w:line="300" w:lineRule="auto"/>
        <w:jc w:val="left"/>
        <w:rPr>
          <w:rFonts w:ascii="宋体" w:eastAsia="宋体" w:hAnsi="宋体"/>
          <w:sz w:val="24"/>
          <w:szCs w:val="24"/>
        </w:rPr>
      </w:pPr>
      <w:r w:rsidRPr="001B62EE">
        <w:rPr>
          <w:rFonts w:ascii="MS Gothic" w:hAnsi="MS Gothic" w:cs="MS Gothic"/>
        </w:rPr>
        <w:drawing>
          <wp:inline distT="0" distB="0" distL="0" distR="0" wp14:anchorId="6B666EB3" wp14:editId="36233995">
            <wp:extent cx="5274310" cy="3303905"/>
            <wp:effectExtent l="0" t="0" r="2540" b="0"/>
            <wp:docPr id="6" name="图片 6" descr="图表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图表&#10;&#10;描述已自动生成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3039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2B4665" w14:textId="23E23D0F" w:rsidR="00035F19" w:rsidRPr="00AD39C3" w:rsidRDefault="00035F19" w:rsidP="00AA28ED">
      <w:pPr>
        <w:spacing w:line="300" w:lineRule="auto"/>
        <w:jc w:val="center"/>
        <w:rPr>
          <w:rFonts w:ascii="宋体" w:eastAsia="宋体" w:hAnsi="宋体" w:hint="eastAsia"/>
          <w:szCs w:val="21"/>
        </w:rPr>
      </w:pPr>
      <w:r w:rsidRPr="00AD39C3">
        <w:rPr>
          <w:rFonts w:ascii="宋体" w:eastAsia="宋体" w:hAnsi="宋体" w:hint="eastAsia"/>
          <w:szCs w:val="21"/>
        </w:rPr>
        <w:t>图</w:t>
      </w:r>
      <w:r w:rsidR="00243BF9">
        <w:rPr>
          <w:rFonts w:ascii="宋体" w:eastAsia="宋体" w:hAnsi="宋体"/>
          <w:szCs w:val="21"/>
        </w:rPr>
        <w:t>3</w:t>
      </w:r>
      <w:r w:rsidRPr="00AD39C3">
        <w:rPr>
          <w:rFonts w:ascii="宋体" w:eastAsia="宋体" w:hAnsi="宋体"/>
          <w:szCs w:val="21"/>
        </w:rPr>
        <w:t xml:space="preserve"> </w:t>
      </w:r>
      <w:r w:rsidR="00683F73" w:rsidRPr="00AD39C3">
        <w:rPr>
          <w:rFonts w:ascii="宋体" w:eastAsia="宋体" w:hAnsi="宋体" w:hint="eastAsia"/>
          <w:szCs w:val="21"/>
        </w:rPr>
        <w:t>预测患者预后情况的</w:t>
      </w:r>
      <w:r w:rsidRPr="00AD39C3">
        <w:rPr>
          <w:rFonts w:ascii="宋体" w:eastAsia="宋体" w:hAnsi="宋体" w:hint="eastAsia"/>
          <w:szCs w:val="21"/>
        </w:rPr>
        <w:t>列线图</w:t>
      </w:r>
    </w:p>
    <w:p w14:paraId="38ED0F75" w14:textId="46AC9710" w:rsidR="004E7F08" w:rsidRDefault="009A2C41" w:rsidP="004E6003">
      <w:pPr>
        <w:spacing w:line="300" w:lineRule="auto"/>
        <w:ind w:firstLineChars="200" w:firstLine="480"/>
        <w:jc w:val="left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>与PCGs的</w:t>
      </w:r>
      <w:proofErr w:type="gramStart"/>
      <w:r>
        <w:rPr>
          <w:rFonts w:ascii="宋体" w:eastAsia="宋体" w:hAnsi="宋体" w:hint="eastAsia"/>
          <w:sz w:val="24"/>
          <w:szCs w:val="24"/>
        </w:rPr>
        <w:t>共表达</w:t>
      </w:r>
      <w:proofErr w:type="gramEnd"/>
      <w:r>
        <w:rPr>
          <w:rFonts w:ascii="宋体" w:eastAsia="宋体" w:hAnsi="宋体" w:hint="eastAsia"/>
          <w:sz w:val="24"/>
          <w:szCs w:val="24"/>
        </w:rPr>
        <w:t>分析</w:t>
      </w:r>
    </w:p>
    <w:p w14:paraId="479C780F" w14:textId="680E87FD" w:rsidR="009A2C41" w:rsidRDefault="008C5E45" w:rsidP="004E6003">
      <w:pPr>
        <w:spacing w:line="300" w:lineRule="auto"/>
        <w:ind w:firstLineChars="200" w:firstLine="480"/>
        <w:jc w:val="left"/>
        <w:rPr>
          <w:rFonts w:ascii="宋体" w:eastAsia="宋体" w:hAnsi="宋体"/>
          <w:sz w:val="24"/>
          <w:szCs w:val="24"/>
        </w:rPr>
      </w:pPr>
      <w:r w:rsidRPr="008C5E45">
        <w:rPr>
          <w:rFonts w:ascii="宋体" w:eastAsia="宋体" w:hAnsi="宋体" w:hint="eastAsia"/>
          <w:sz w:val="24"/>
          <w:szCs w:val="24"/>
        </w:rPr>
        <w:t>为了鉴定与</w:t>
      </w:r>
      <w:r w:rsidRPr="008C5E45">
        <w:rPr>
          <w:rFonts w:ascii="宋体" w:eastAsia="宋体" w:hAnsi="宋体"/>
          <w:sz w:val="24"/>
          <w:szCs w:val="24"/>
        </w:rPr>
        <w:t>snoRNA</w:t>
      </w:r>
      <w:proofErr w:type="gramStart"/>
      <w:r w:rsidRPr="008C5E45">
        <w:rPr>
          <w:rFonts w:ascii="宋体" w:eastAsia="宋体" w:hAnsi="宋体"/>
          <w:sz w:val="24"/>
          <w:szCs w:val="24"/>
        </w:rPr>
        <w:t>共表达</w:t>
      </w:r>
      <w:proofErr w:type="gramEnd"/>
      <w:r w:rsidRPr="008C5E45">
        <w:rPr>
          <w:rFonts w:ascii="宋体" w:eastAsia="宋体" w:hAnsi="宋体"/>
          <w:sz w:val="24"/>
          <w:szCs w:val="24"/>
        </w:rPr>
        <w:t>的蛋白质编码基因，使用前300个</w:t>
      </w:r>
      <w:proofErr w:type="gramStart"/>
      <w:r w:rsidRPr="008C5E45">
        <w:rPr>
          <w:rFonts w:ascii="宋体" w:eastAsia="宋体" w:hAnsi="宋体"/>
          <w:sz w:val="24"/>
          <w:szCs w:val="24"/>
        </w:rPr>
        <w:t>共表达</w:t>
      </w:r>
      <w:proofErr w:type="gramEnd"/>
      <w:r w:rsidRPr="008C5E45">
        <w:rPr>
          <w:rFonts w:ascii="宋体" w:eastAsia="宋体" w:hAnsi="宋体"/>
          <w:sz w:val="24"/>
          <w:szCs w:val="24"/>
        </w:rPr>
        <w:t>的PCG进行相关分析，然后进行GO和KEGG富集分析，确定了预测性snoRNA的功能提供了一个网络来说明每个snoRNA的前10个相关PCG的关系</w:t>
      </w:r>
      <w:r w:rsidR="00F8084B">
        <w:rPr>
          <w:rFonts w:ascii="宋体" w:eastAsia="宋体" w:hAnsi="宋体" w:hint="eastAsia"/>
          <w:sz w:val="24"/>
          <w:szCs w:val="24"/>
        </w:rPr>
        <w:t>（图4）</w:t>
      </w:r>
      <w:r>
        <w:rPr>
          <w:rFonts w:ascii="宋体" w:eastAsia="宋体" w:hAnsi="宋体" w:hint="eastAsia"/>
          <w:sz w:val="24"/>
          <w:szCs w:val="24"/>
        </w:rPr>
        <w:t>。</w:t>
      </w:r>
      <w:r w:rsidR="00805D2E" w:rsidRPr="00805D2E">
        <w:rPr>
          <w:rFonts w:ascii="宋体" w:eastAsia="宋体" w:hAnsi="宋体" w:hint="eastAsia"/>
          <w:sz w:val="24"/>
          <w:szCs w:val="24"/>
        </w:rPr>
        <w:t>根据</w:t>
      </w:r>
      <w:r w:rsidR="00805D2E" w:rsidRPr="00805D2E">
        <w:rPr>
          <w:rFonts w:ascii="宋体" w:eastAsia="宋体" w:hAnsi="宋体"/>
          <w:sz w:val="24"/>
          <w:szCs w:val="24"/>
        </w:rPr>
        <w:t>GO生物过程（BP）和KEGG的snoRNA功能如</w:t>
      </w:r>
      <w:r w:rsidR="00805D2E">
        <w:rPr>
          <w:rFonts w:ascii="宋体" w:eastAsia="宋体" w:hAnsi="宋体" w:hint="eastAsia"/>
          <w:sz w:val="24"/>
          <w:szCs w:val="24"/>
        </w:rPr>
        <w:t>下，</w:t>
      </w:r>
      <w:r w:rsidR="009E29B2" w:rsidRPr="009E29B2">
        <w:rPr>
          <w:rFonts w:ascii="宋体" w:eastAsia="宋体" w:hAnsi="宋体"/>
          <w:sz w:val="24"/>
          <w:szCs w:val="24"/>
        </w:rPr>
        <w:t>SNORA36B参与DNA模板调控，SNORD114-17参与调控细胞粘附、侵袭和转移，U3（chr2）与RNA编辑相关，U3（chr17）在细胞增殖中发挥作用，SNORD78具有多种功能。此外，SNORD114-17参与了几个众所周知的癌症相关通路，如PI3K-AKT信号和ECM受体，表明SNORD114-17可能是恶性表型的重要调节因子。此外，还进行了GSEA以确定高风险组中富含的snoRNA相关标志。几种癌症相关过程，包括EMT和血管生成，在高危组中显着丰富</w:t>
      </w:r>
      <w:r w:rsidR="009E29B2">
        <w:rPr>
          <w:rFonts w:ascii="宋体" w:eastAsia="宋体" w:hAnsi="宋体" w:hint="eastAsia"/>
          <w:sz w:val="24"/>
          <w:szCs w:val="24"/>
        </w:rPr>
        <w:t>。</w:t>
      </w:r>
      <w:r w:rsidR="000651C3" w:rsidRPr="000651C3">
        <w:rPr>
          <w:rFonts w:ascii="宋体" w:eastAsia="宋体" w:hAnsi="宋体" w:hint="eastAsia"/>
          <w:sz w:val="24"/>
          <w:szCs w:val="24"/>
        </w:rPr>
        <w:t>与</w:t>
      </w:r>
      <w:r w:rsidR="000651C3" w:rsidRPr="000651C3">
        <w:rPr>
          <w:rFonts w:ascii="宋体" w:eastAsia="宋体" w:hAnsi="宋体"/>
          <w:sz w:val="24"/>
          <w:szCs w:val="24"/>
        </w:rPr>
        <w:t>HNSCC相关的KEGG通路，如ECM受体和粘着斑，显着丰富</w:t>
      </w:r>
      <w:r w:rsidR="000651C3">
        <w:rPr>
          <w:rFonts w:ascii="宋体" w:eastAsia="宋体" w:hAnsi="宋体" w:hint="eastAsia"/>
          <w:sz w:val="24"/>
          <w:szCs w:val="24"/>
        </w:rPr>
        <w:t>。</w:t>
      </w:r>
      <w:r w:rsidR="00EE3BD2" w:rsidRPr="00EE3BD2">
        <w:rPr>
          <w:rFonts w:ascii="宋体" w:eastAsia="宋体" w:hAnsi="宋体" w:hint="eastAsia"/>
          <w:sz w:val="24"/>
          <w:szCs w:val="24"/>
        </w:rPr>
        <w:t>总之，这五种</w:t>
      </w:r>
      <w:r w:rsidR="00EE3BD2" w:rsidRPr="00EE3BD2">
        <w:rPr>
          <w:rFonts w:ascii="宋体" w:eastAsia="宋体" w:hAnsi="宋体"/>
          <w:sz w:val="24"/>
          <w:szCs w:val="24"/>
        </w:rPr>
        <w:t>snoRNA与肿瘤进展有关。</w:t>
      </w:r>
    </w:p>
    <w:p w14:paraId="265E734F" w14:textId="491CE82A" w:rsidR="00050B9B" w:rsidRDefault="00500563" w:rsidP="00D90888">
      <w:pPr>
        <w:spacing w:line="300" w:lineRule="auto"/>
        <w:jc w:val="center"/>
        <w:rPr>
          <w:rFonts w:ascii="宋体" w:eastAsia="宋体" w:hAnsi="宋体"/>
          <w:sz w:val="24"/>
          <w:szCs w:val="24"/>
        </w:rPr>
      </w:pPr>
      <w:r w:rsidRPr="00500563">
        <w:rPr>
          <w:rFonts w:ascii="宋体" w:eastAsia="宋体" w:hAnsi="宋体"/>
          <w:sz w:val="24"/>
          <w:szCs w:val="24"/>
        </w:rPr>
        <w:drawing>
          <wp:inline distT="0" distB="0" distL="0" distR="0" wp14:anchorId="750363E1" wp14:editId="7E466E7E">
            <wp:extent cx="3378517" cy="3174733"/>
            <wp:effectExtent l="0" t="0" r="0" b="6985"/>
            <wp:docPr id="3" name="图片 3" descr="图表, 图示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图表, 图示&#10;&#10;描述已自动生成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385652" cy="31814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72840E" w14:textId="68AE140A" w:rsidR="00500563" w:rsidRPr="00D90888" w:rsidRDefault="00500563" w:rsidP="00D90888">
      <w:pPr>
        <w:spacing w:line="300" w:lineRule="auto"/>
        <w:jc w:val="center"/>
        <w:rPr>
          <w:rFonts w:ascii="宋体" w:eastAsia="宋体" w:hAnsi="宋体" w:hint="eastAsia"/>
          <w:szCs w:val="21"/>
        </w:rPr>
      </w:pPr>
      <w:r w:rsidRPr="00D90888">
        <w:rPr>
          <w:rFonts w:ascii="宋体" w:eastAsia="宋体" w:hAnsi="宋体" w:hint="eastAsia"/>
          <w:szCs w:val="21"/>
        </w:rPr>
        <w:t>图4</w:t>
      </w:r>
      <w:r w:rsidRPr="00D90888">
        <w:rPr>
          <w:rFonts w:ascii="宋体" w:eastAsia="宋体" w:hAnsi="宋体"/>
          <w:szCs w:val="21"/>
        </w:rPr>
        <w:t xml:space="preserve"> </w:t>
      </w:r>
      <w:r w:rsidRPr="00D90888">
        <w:rPr>
          <w:rFonts w:ascii="宋体" w:eastAsia="宋体" w:hAnsi="宋体" w:hint="eastAsia"/>
          <w:szCs w:val="21"/>
        </w:rPr>
        <w:t>snoRNAs和它们的前1</w:t>
      </w:r>
      <w:r w:rsidRPr="00D90888">
        <w:rPr>
          <w:rFonts w:ascii="宋体" w:eastAsia="宋体" w:hAnsi="宋体"/>
          <w:szCs w:val="21"/>
        </w:rPr>
        <w:t>0</w:t>
      </w:r>
      <w:r w:rsidRPr="00D90888">
        <w:rPr>
          <w:rFonts w:ascii="宋体" w:eastAsia="宋体" w:hAnsi="宋体" w:hint="eastAsia"/>
          <w:szCs w:val="21"/>
        </w:rPr>
        <w:t>个</w:t>
      </w:r>
      <w:proofErr w:type="gramStart"/>
      <w:r w:rsidR="00D90888" w:rsidRPr="00D90888">
        <w:rPr>
          <w:rFonts w:ascii="宋体" w:eastAsia="宋体" w:hAnsi="宋体" w:hint="eastAsia"/>
          <w:szCs w:val="21"/>
        </w:rPr>
        <w:t>共表达</w:t>
      </w:r>
      <w:proofErr w:type="gramEnd"/>
      <w:r w:rsidR="00D90888" w:rsidRPr="00D90888">
        <w:rPr>
          <w:rFonts w:ascii="宋体" w:eastAsia="宋体" w:hAnsi="宋体" w:hint="eastAsia"/>
          <w:szCs w:val="21"/>
        </w:rPr>
        <w:t>PCGs</w:t>
      </w:r>
    </w:p>
    <w:p w14:paraId="76208CEE" w14:textId="7305AB54" w:rsidR="00EE3BD2" w:rsidRPr="0082003D" w:rsidRDefault="00EE3BD2" w:rsidP="0082003D">
      <w:pPr>
        <w:pStyle w:val="1"/>
        <w:numPr>
          <w:ilvl w:val="0"/>
          <w:numId w:val="1"/>
        </w:numPr>
        <w:ind w:left="0" w:firstLine="0"/>
      </w:pPr>
      <w:r w:rsidRPr="0082003D">
        <w:rPr>
          <w:rFonts w:hint="eastAsia"/>
        </w:rPr>
        <w:t>讨论</w:t>
      </w:r>
    </w:p>
    <w:p w14:paraId="76F8B418" w14:textId="43F93ACA" w:rsidR="00F84FB6" w:rsidRDefault="00592C28" w:rsidP="00592C28">
      <w:pPr>
        <w:spacing w:line="300" w:lineRule="auto"/>
        <w:ind w:firstLineChars="200" w:firstLine="480"/>
        <w:jc w:val="left"/>
        <w:rPr>
          <w:rFonts w:ascii="宋体" w:eastAsia="宋体" w:hAnsi="宋体"/>
          <w:sz w:val="24"/>
          <w:szCs w:val="24"/>
        </w:rPr>
      </w:pPr>
      <w:r w:rsidRPr="00592C28">
        <w:rPr>
          <w:rFonts w:ascii="宋体" w:eastAsia="宋体" w:hAnsi="宋体"/>
          <w:sz w:val="24"/>
          <w:szCs w:val="24"/>
        </w:rPr>
        <w:t>HNSCC患者的预后往往较差，存活率较低。尽管诊断和治疗方法有了很大改进，但HNSCC的存活率仍然很低。预后生物标志物可以提供有关癌症相对于疾病进展、复发或死亡的可能结果的信息。这些信息可以极大地帮助临床实践中的患者分层、治疗管理和监测疾病状态</w:t>
      </w:r>
      <w:r>
        <w:rPr>
          <w:rFonts w:ascii="宋体" w:eastAsia="宋体" w:hAnsi="宋体" w:hint="eastAsia"/>
          <w:sz w:val="24"/>
          <w:szCs w:val="24"/>
        </w:rPr>
        <w:t>。</w:t>
      </w:r>
      <w:r w:rsidR="0059187F" w:rsidRPr="0059187F">
        <w:rPr>
          <w:rFonts w:ascii="宋体" w:eastAsia="宋体" w:hAnsi="宋体" w:hint="eastAsia"/>
          <w:sz w:val="24"/>
          <w:szCs w:val="24"/>
        </w:rPr>
        <w:t>在过去几年中，多种分子生物标志物已被证明可以预测不同类型癌症的临床预后。此外，与单个标志物相比，组合多种生物标志物可实现更高的灵敏度和特异性。因此，在</w:t>
      </w:r>
      <w:r w:rsidR="0059187F" w:rsidRPr="0059187F">
        <w:rPr>
          <w:rFonts w:ascii="宋体" w:eastAsia="宋体" w:hAnsi="宋体"/>
          <w:sz w:val="24"/>
          <w:szCs w:val="24"/>
        </w:rPr>
        <w:t>HNSCC中发现了基于各种分子（例如mRNA、miRNA、lncRNA和甲基化）的几个特征的预测模型。</w:t>
      </w:r>
    </w:p>
    <w:p w14:paraId="1A24C3EE" w14:textId="083226E8" w:rsidR="00D03BC4" w:rsidRDefault="00D03BC4" w:rsidP="00592C28">
      <w:pPr>
        <w:spacing w:line="300" w:lineRule="auto"/>
        <w:ind w:firstLineChars="200" w:firstLine="480"/>
        <w:jc w:val="left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>本研究</w:t>
      </w:r>
      <w:r w:rsidRPr="00D03BC4">
        <w:rPr>
          <w:rFonts w:ascii="宋体" w:eastAsia="宋体" w:hAnsi="宋体" w:hint="eastAsia"/>
          <w:sz w:val="24"/>
          <w:szCs w:val="24"/>
        </w:rPr>
        <w:t>聚焦于</w:t>
      </w:r>
      <w:r w:rsidRPr="00D03BC4">
        <w:rPr>
          <w:rFonts w:ascii="宋体" w:eastAsia="宋体" w:hAnsi="宋体"/>
          <w:sz w:val="24"/>
          <w:szCs w:val="24"/>
        </w:rPr>
        <w:t>snoRNA，并使用类似的方法来识别和证明snoRNA也可以作为预后特征。</w:t>
      </w:r>
      <w:r w:rsidR="00916150" w:rsidRPr="00916150">
        <w:rPr>
          <w:rFonts w:ascii="宋体" w:eastAsia="宋体" w:hAnsi="宋体" w:hint="eastAsia"/>
          <w:sz w:val="24"/>
          <w:szCs w:val="24"/>
        </w:rPr>
        <w:t>近年来，在其他细胞通路的调节中出现了新的作用，包括对不同癌症中的肿瘤发生的调节</w:t>
      </w:r>
      <w:r w:rsidR="00821F48">
        <w:rPr>
          <w:rFonts w:ascii="宋体" w:eastAsia="宋体" w:hAnsi="宋体" w:hint="eastAsia"/>
          <w:sz w:val="24"/>
          <w:szCs w:val="24"/>
        </w:rPr>
        <w:t>，</w:t>
      </w:r>
      <w:r w:rsidR="00821F48" w:rsidRPr="00821F48">
        <w:rPr>
          <w:rFonts w:ascii="宋体" w:eastAsia="宋体" w:hAnsi="宋体" w:hint="eastAsia"/>
          <w:sz w:val="24"/>
          <w:szCs w:val="24"/>
        </w:rPr>
        <w:t>人们对</w:t>
      </w:r>
      <w:r w:rsidR="00821F48" w:rsidRPr="00821F48">
        <w:rPr>
          <w:rFonts w:ascii="宋体" w:eastAsia="宋体" w:hAnsi="宋体"/>
          <w:sz w:val="24"/>
          <w:szCs w:val="24"/>
        </w:rPr>
        <w:t>snoRNA的重要性知之甚少</w:t>
      </w:r>
      <w:r w:rsidR="00821F48">
        <w:rPr>
          <w:rFonts w:ascii="宋体" w:eastAsia="宋体" w:hAnsi="宋体" w:hint="eastAsia"/>
          <w:sz w:val="24"/>
          <w:szCs w:val="24"/>
        </w:rPr>
        <w:t>。</w:t>
      </w:r>
      <w:r w:rsidR="007E21D4" w:rsidRPr="007E21D4">
        <w:rPr>
          <w:rFonts w:ascii="宋体" w:eastAsia="宋体" w:hAnsi="宋体" w:hint="eastAsia"/>
          <w:sz w:val="24"/>
          <w:szCs w:val="24"/>
        </w:rPr>
        <w:t>因此，我们对</w:t>
      </w:r>
      <w:r w:rsidR="007E21D4" w:rsidRPr="007E21D4">
        <w:rPr>
          <w:rFonts w:ascii="宋体" w:eastAsia="宋体" w:hAnsi="宋体"/>
          <w:sz w:val="24"/>
          <w:szCs w:val="24"/>
        </w:rPr>
        <w:t>snoRNA作为预后预测因子的潜在作用进行了系统分析，并提供了与生存相关的snoRNA的第一个证据。</w:t>
      </w:r>
    </w:p>
    <w:p w14:paraId="18222FBC" w14:textId="60BFFEBC" w:rsidR="005C37F4" w:rsidRPr="0059187F" w:rsidRDefault="00C543FC" w:rsidP="00592C28">
      <w:pPr>
        <w:spacing w:line="300" w:lineRule="auto"/>
        <w:ind w:firstLineChars="200" w:firstLine="480"/>
        <w:jc w:val="left"/>
        <w:rPr>
          <w:rFonts w:ascii="宋体" w:eastAsia="宋体" w:hAnsi="宋体" w:hint="eastAsia"/>
          <w:sz w:val="24"/>
          <w:szCs w:val="24"/>
        </w:rPr>
      </w:pPr>
      <w:r w:rsidRPr="00C543FC">
        <w:rPr>
          <w:rFonts w:ascii="宋体" w:eastAsia="宋体" w:hAnsi="宋体" w:hint="eastAsia"/>
          <w:sz w:val="24"/>
          <w:szCs w:val="24"/>
        </w:rPr>
        <w:t>本研究存在一些不容忽视的局限性和不足。首先，本研究主要集中在基于方法论的数据挖掘和数据分析上，结果没有通过实验验证。</w:t>
      </w:r>
      <w:r w:rsidR="00432AF3" w:rsidRPr="00CD3B00">
        <w:rPr>
          <w:rFonts w:ascii="宋体" w:eastAsia="宋体" w:hAnsi="宋体" w:hint="eastAsia"/>
          <w:sz w:val="24"/>
          <w:szCs w:val="24"/>
        </w:rPr>
        <w:t>其次，能够获得的数据集是有限的，只能获得一个包含</w:t>
      </w:r>
      <w:r w:rsidR="00432AF3" w:rsidRPr="00CD3B00">
        <w:rPr>
          <w:rFonts w:ascii="宋体" w:eastAsia="宋体" w:hAnsi="宋体"/>
          <w:sz w:val="24"/>
          <w:szCs w:val="24"/>
        </w:rPr>
        <w:t>HNSCC患者miRNA-seq数据和临床随访信息的TCGAHNSCC数据集。如果有其他数据</w:t>
      </w:r>
      <w:proofErr w:type="gramStart"/>
      <w:r w:rsidR="00432AF3" w:rsidRPr="00CD3B00">
        <w:rPr>
          <w:rFonts w:ascii="宋体" w:eastAsia="宋体" w:hAnsi="宋体"/>
          <w:sz w:val="24"/>
          <w:szCs w:val="24"/>
        </w:rPr>
        <w:t>集满足</w:t>
      </w:r>
      <w:proofErr w:type="gramEnd"/>
      <w:r w:rsidR="00432AF3" w:rsidRPr="00CD3B00">
        <w:rPr>
          <w:rFonts w:ascii="宋体" w:eastAsia="宋体" w:hAnsi="宋体"/>
          <w:sz w:val="24"/>
          <w:szCs w:val="24"/>
        </w:rPr>
        <w:t>要求，</w:t>
      </w:r>
      <w:r w:rsidR="00432AF3">
        <w:rPr>
          <w:rFonts w:ascii="宋体" w:eastAsia="宋体" w:hAnsi="宋体" w:hint="eastAsia"/>
          <w:sz w:val="24"/>
          <w:szCs w:val="24"/>
        </w:rPr>
        <w:t>用</w:t>
      </w:r>
      <w:r w:rsidR="00432AF3" w:rsidRPr="00CD3B00">
        <w:rPr>
          <w:rFonts w:ascii="宋体" w:eastAsia="宋体" w:hAnsi="宋体"/>
          <w:sz w:val="24"/>
          <w:szCs w:val="24"/>
        </w:rPr>
        <w:t>这些数据集可以用来进一步验证结果。</w:t>
      </w:r>
      <w:r w:rsidR="00432AF3" w:rsidRPr="00936D06">
        <w:rPr>
          <w:rFonts w:ascii="宋体" w:eastAsia="宋体" w:hAnsi="宋体" w:hint="eastAsia"/>
          <w:sz w:val="24"/>
          <w:szCs w:val="24"/>
        </w:rPr>
        <w:t>第三，在构建用于预后的</w:t>
      </w:r>
      <w:r w:rsidR="00432AF3" w:rsidRPr="00936D06">
        <w:rPr>
          <w:rFonts w:ascii="宋体" w:eastAsia="宋体" w:hAnsi="宋体"/>
          <w:sz w:val="24"/>
          <w:szCs w:val="24"/>
        </w:rPr>
        <w:t>snoRNA特征时，必须考虑到这种模型的应用。由于检测snoRNAs的不同方法可能导致不同的结果，因此snoRNAs</w:t>
      </w:r>
      <w:proofErr w:type="gramStart"/>
      <w:r w:rsidR="00432AF3" w:rsidRPr="00936D06">
        <w:rPr>
          <w:rFonts w:ascii="宋体" w:eastAsia="宋体" w:hAnsi="宋体"/>
          <w:sz w:val="24"/>
          <w:szCs w:val="24"/>
        </w:rPr>
        <w:t>转录组</w:t>
      </w:r>
      <w:proofErr w:type="gramEnd"/>
      <w:r w:rsidR="00432AF3" w:rsidRPr="00936D06">
        <w:rPr>
          <w:rFonts w:ascii="宋体" w:eastAsia="宋体" w:hAnsi="宋体"/>
          <w:sz w:val="24"/>
          <w:szCs w:val="24"/>
        </w:rPr>
        <w:t>学活性的检测、定量和测定程序必须标准化。最后，miRNA-seq不是为完整的snoRNA库而设计的，因为miRNA-seq读数太短（15-30bp）无法区分snoRNA和snoRNA片段，后者可能具有不同的生物学功能。然而，该方法已应用于多项研究，并且可能是从TCGA组学数据量化snoRNA表达谱的最合适方法。因此，有必要验证来自miRNA-seq数据的全长snoRNA以进行进一步研究。</w:t>
      </w:r>
    </w:p>
    <w:p w14:paraId="376DC13A" w14:textId="223D54B0" w:rsidR="00EE5624" w:rsidRPr="0082003D" w:rsidRDefault="00F84FB6" w:rsidP="0082003D">
      <w:pPr>
        <w:pStyle w:val="1"/>
        <w:numPr>
          <w:ilvl w:val="0"/>
          <w:numId w:val="1"/>
        </w:numPr>
        <w:ind w:left="0" w:firstLine="0"/>
      </w:pPr>
      <w:r w:rsidRPr="0082003D">
        <w:rPr>
          <w:rFonts w:hint="eastAsia"/>
        </w:rPr>
        <w:lastRenderedPageBreak/>
        <w:t>结论</w:t>
      </w:r>
    </w:p>
    <w:p w14:paraId="7DBEF14D" w14:textId="6DCCB170" w:rsidR="000D7998" w:rsidRDefault="00EE5624" w:rsidP="000D7998">
      <w:pPr>
        <w:spacing w:line="300" w:lineRule="auto"/>
        <w:ind w:firstLineChars="200" w:firstLine="480"/>
        <w:jc w:val="left"/>
        <w:rPr>
          <w:rFonts w:ascii="宋体" w:eastAsia="宋体" w:hAnsi="宋体"/>
          <w:sz w:val="24"/>
          <w:szCs w:val="24"/>
        </w:rPr>
      </w:pPr>
      <w:r w:rsidRPr="00EE5624">
        <w:rPr>
          <w:rFonts w:ascii="宋体" w:eastAsia="宋体" w:hAnsi="宋体" w:hint="eastAsia"/>
          <w:sz w:val="24"/>
          <w:szCs w:val="24"/>
        </w:rPr>
        <w:t>总之，这项研究强调了</w:t>
      </w:r>
      <w:r w:rsidRPr="00EE5624">
        <w:rPr>
          <w:rFonts w:ascii="宋体" w:eastAsia="宋体" w:hAnsi="宋体"/>
          <w:sz w:val="24"/>
          <w:szCs w:val="24"/>
        </w:rPr>
        <w:t>snoRNA的预后价值并探索了它们的潜在功能。一些与预后相关的snoRNA已经被揭示，并且可以通过基于这些snoRNA的风险模型来预测HNSCC患者的生存，这可以作为临床实践中的预后标志物。这些结果可能为HNSCC患者管理提供新的潜在预后和治疗意义。</w:t>
      </w:r>
    </w:p>
    <w:p w14:paraId="42E24F54" w14:textId="77777777" w:rsidR="000D7998" w:rsidRPr="00EE5624" w:rsidRDefault="000D7998" w:rsidP="000D7998">
      <w:pPr>
        <w:spacing w:line="300" w:lineRule="auto"/>
        <w:jc w:val="left"/>
        <w:rPr>
          <w:rFonts w:ascii="宋体" w:eastAsia="宋体" w:hAnsi="宋体" w:hint="eastAsia"/>
          <w:sz w:val="24"/>
          <w:szCs w:val="24"/>
        </w:rPr>
      </w:pPr>
    </w:p>
    <w:sectPr w:rsidR="000D7998" w:rsidRPr="00EE562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2E6B32"/>
    <w:multiLevelType w:val="hybridMultilevel"/>
    <w:tmpl w:val="76D06418"/>
    <w:lvl w:ilvl="0" w:tplc="B764F1A2">
      <w:start w:val="1"/>
      <w:numFmt w:val="japaneseCounting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2147"/>
    <w:rsid w:val="00035F19"/>
    <w:rsid w:val="00050B9B"/>
    <w:rsid w:val="000651C3"/>
    <w:rsid w:val="000A53EA"/>
    <w:rsid w:val="000C04FF"/>
    <w:rsid w:val="000D2F85"/>
    <w:rsid w:val="000D7998"/>
    <w:rsid w:val="000F3BD9"/>
    <w:rsid w:val="000F3C61"/>
    <w:rsid w:val="000F48FF"/>
    <w:rsid w:val="0010252F"/>
    <w:rsid w:val="00106B26"/>
    <w:rsid w:val="0019112C"/>
    <w:rsid w:val="001C6B93"/>
    <w:rsid w:val="00243BF9"/>
    <w:rsid w:val="002A65BC"/>
    <w:rsid w:val="00363A65"/>
    <w:rsid w:val="003A0230"/>
    <w:rsid w:val="003E12BC"/>
    <w:rsid w:val="003E7CAB"/>
    <w:rsid w:val="00422147"/>
    <w:rsid w:val="00432AF3"/>
    <w:rsid w:val="0047008F"/>
    <w:rsid w:val="004742A3"/>
    <w:rsid w:val="004869CB"/>
    <w:rsid w:val="004C6009"/>
    <w:rsid w:val="004E6003"/>
    <w:rsid w:val="004E7F08"/>
    <w:rsid w:val="00500563"/>
    <w:rsid w:val="0059187F"/>
    <w:rsid w:val="00592C28"/>
    <w:rsid w:val="005C37F4"/>
    <w:rsid w:val="005F3774"/>
    <w:rsid w:val="0060046D"/>
    <w:rsid w:val="006124E6"/>
    <w:rsid w:val="00612E97"/>
    <w:rsid w:val="00627AE8"/>
    <w:rsid w:val="0066531D"/>
    <w:rsid w:val="00683F73"/>
    <w:rsid w:val="006979F9"/>
    <w:rsid w:val="00713795"/>
    <w:rsid w:val="00750E1A"/>
    <w:rsid w:val="0075647E"/>
    <w:rsid w:val="007C2169"/>
    <w:rsid w:val="007D57C5"/>
    <w:rsid w:val="007D7CFD"/>
    <w:rsid w:val="007E21D4"/>
    <w:rsid w:val="007E7FF8"/>
    <w:rsid w:val="00804427"/>
    <w:rsid w:val="00805D2E"/>
    <w:rsid w:val="0082003D"/>
    <w:rsid w:val="00821F48"/>
    <w:rsid w:val="008441E3"/>
    <w:rsid w:val="008472CE"/>
    <w:rsid w:val="008B4898"/>
    <w:rsid w:val="008C3DA1"/>
    <w:rsid w:val="008C5E45"/>
    <w:rsid w:val="008C7A2A"/>
    <w:rsid w:val="00916150"/>
    <w:rsid w:val="00936D06"/>
    <w:rsid w:val="009966EB"/>
    <w:rsid w:val="009A2C41"/>
    <w:rsid w:val="009C3EF6"/>
    <w:rsid w:val="009E29B2"/>
    <w:rsid w:val="009F77B4"/>
    <w:rsid w:val="00A53C01"/>
    <w:rsid w:val="00A60CF0"/>
    <w:rsid w:val="00A91C0A"/>
    <w:rsid w:val="00AA28ED"/>
    <w:rsid w:val="00AD39C3"/>
    <w:rsid w:val="00B04555"/>
    <w:rsid w:val="00B379AF"/>
    <w:rsid w:val="00B62605"/>
    <w:rsid w:val="00BD088B"/>
    <w:rsid w:val="00C543FC"/>
    <w:rsid w:val="00CD3B00"/>
    <w:rsid w:val="00D03BC4"/>
    <w:rsid w:val="00D102DA"/>
    <w:rsid w:val="00D90888"/>
    <w:rsid w:val="00E146DE"/>
    <w:rsid w:val="00EE3BD2"/>
    <w:rsid w:val="00EE5624"/>
    <w:rsid w:val="00F23CAB"/>
    <w:rsid w:val="00F33FDC"/>
    <w:rsid w:val="00F8084B"/>
    <w:rsid w:val="00F84FB6"/>
    <w:rsid w:val="00FC77A4"/>
    <w:rsid w:val="00FD60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D704CB"/>
  <w15:chartTrackingRefBased/>
  <w15:docId w15:val="{F4F8D03C-9BAB-45C0-B64A-8A7EC20F67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82003D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rsid w:val="00422147"/>
    <w:pPr>
      <w:ind w:leftChars="2500" w:left="100"/>
    </w:pPr>
  </w:style>
  <w:style w:type="character" w:customStyle="1" w:styleId="a4">
    <w:name w:val="日期 字符"/>
    <w:basedOn w:val="a0"/>
    <w:link w:val="a3"/>
    <w:uiPriority w:val="99"/>
    <w:semiHidden/>
    <w:rsid w:val="00422147"/>
  </w:style>
  <w:style w:type="paragraph" w:styleId="a5">
    <w:name w:val="List Paragraph"/>
    <w:basedOn w:val="a"/>
    <w:uiPriority w:val="34"/>
    <w:qFormat/>
    <w:rsid w:val="00422147"/>
    <w:pPr>
      <w:ind w:firstLineChars="200" w:firstLine="420"/>
    </w:pPr>
  </w:style>
  <w:style w:type="character" w:customStyle="1" w:styleId="10">
    <w:name w:val="标题 1 字符"/>
    <w:basedOn w:val="a0"/>
    <w:link w:val="1"/>
    <w:uiPriority w:val="9"/>
    <w:rsid w:val="0082003D"/>
    <w:rPr>
      <w:b/>
      <w:bCs/>
      <w:kern w:val="44"/>
      <w:sz w:val="44"/>
      <w:szCs w:val="4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229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11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460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5505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394</TotalTime>
  <Pages>7</Pages>
  <Words>670</Words>
  <Characters>3819</Characters>
  <Application>Microsoft Office Word</Application>
  <DocSecurity>0</DocSecurity>
  <Lines>31</Lines>
  <Paragraphs>8</Paragraphs>
  <ScaleCrop>false</ScaleCrop>
  <Company/>
  <LinksUpToDate>false</LinksUpToDate>
  <CharactersWithSpaces>4481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许 荣仁</dc:creator>
  <cp:keywords/>
  <dc:description/>
  <cp:lastModifiedBy>许 荣仁</cp:lastModifiedBy>
  <cp:revision>72</cp:revision>
  <dcterms:created xsi:type="dcterms:W3CDTF">2021-12-15T06:58:00Z</dcterms:created>
  <dcterms:modified xsi:type="dcterms:W3CDTF">2021-12-16T03:24:00Z</dcterms:modified>
</cp:coreProperties>
</file>