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E1A7F" w14:textId="77777777" w:rsidR="00DA2766" w:rsidRDefault="00DA2766" w:rsidP="00700379">
      <w:pPr>
        <w:adjustRightInd w:val="0"/>
        <w:snapToGrid w:val="0"/>
        <w:spacing w:afterLines="50" w:after="156" w:line="276" w:lineRule="auto"/>
        <w:rPr>
          <w:b/>
          <w:bCs/>
          <w:color w:val="000000" w:themeColor="text1"/>
          <w:sz w:val="28"/>
          <w:szCs w:val="28"/>
        </w:rPr>
      </w:pPr>
    </w:p>
    <w:p w14:paraId="2AB4480B" w14:textId="228AAB53" w:rsidR="001B078A" w:rsidRPr="002E392E" w:rsidRDefault="0043241B" w:rsidP="00BB4026">
      <w:pPr>
        <w:adjustRightInd w:val="0"/>
        <w:snapToGrid w:val="0"/>
        <w:spacing w:afterLines="200" w:after="624" w:line="276" w:lineRule="auto"/>
        <w:jc w:val="center"/>
        <w:rPr>
          <w:rFonts w:ascii="华文中宋" w:eastAsia="华文中宋" w:hAnsi="华文中宋"/>
          <w:b/>
          <w:bCs/>
          <w:color w:val="000000" w:themeColor="text1"/>
          <w:sz w:val="32"/>
          <w:szCs w:val="32"/>
        </w:rPr>
      </w:pPr>
      <w:r w:rsidRPr="002E392E">
        <w:rPr>
          <w:rFonts w:ascii="华文中宋" w:eastAsia="华文中宋" w:hAnsi="华文中宋" w:hint="eastAsia"/>
          <w:b/>
          <w:bCs/>
          <w:color w:val="000000" w:themeColor="text1"/>
          <w:sz w:val="32"/>
          <w:szCs w:val="32"/>
        </w:rPr>
        <w:t>答辩委员会对学位论文的决议（适用于学术硕士）</w:t>
      </w:r>
    </w:p>
    <w:p w14:paraId="0CC9AADE" w14:textId="4DB8AD2B" w:rsidR="001B078A" w:rsidRDefault="003A65B3" w:rsidP="001B35D9">
      <w:pPr>
        <w:adjustRightInd w:val="0"/>
        <w:snapToGrid w:val="0"/>
        <w:spacing w:afterLines="50" w:after="156" w:line="360" w:lineRule="auto"/>
        <w:ind w:firstLineChars="200" w:firstLine="480"/>
        <w:jc w:val="both"/>
      </w:pPr>
      <w:r w:rsidRPr="002563D5">
        <w:t>冠心病及其急性发作形式急性冠脉综合征具有较高致死率和显著病理异质性，现有预后评估多依赖静态临床指标，难以兼顾微观组学机制与 ICU 动态生命体征的时序演变</w:t>
      </w:r>
      <w:r w:rsidR="0043241B">
        <w:rPr>
          <w:rFonts w:hint="eastAsia"/>
        </w:rPr>
        <w:t>。</w:t>
      </w:r>
      <w:r w:rsidR="0043241B">
        <w:t>论文围绕</w:t>
      </w:r>
      <w:r w:rsidR="009443E1" w:rsidRPr="002563D5">
        <w:t>心血管疾病多模态临床数据建模与预后评估</w:t>
      </w:r>
      <w:r w:rsidR="0043241B" w:rsidRPr="002563D5">
        <w:t>，研究了</w:t>
      </w:r>
      <w:r w:rsidR="00CD2C72">
        <w:rPr>
          <w:rFonts w:hint="eastAsia"/>
        </w:rPr>
        <w:t>冠心病的脂蛋白组学</w:t>
      </w:r>
      <w:r w:rsidR="009325AC">
        <w:rPr>
          <w:rFonts w:hint="eastAsia"/>
        </w:rPr>
        <w:t>特征发现</w:t>
      </w:r>
      <w:r w:rsidR="00851E75" w:rsidRPr="002563D5">
        <w:rPr>
          <w:rFonts w:hint="eastAsia"/>
        </w:rPr>
        <w:t>、</w:t>
      </w:r>
      <w:r w:rsidR="001716C2" w:rsidRPr="002563D5">
        <w:rPr>
          <w:rFonts w:hint="eastAsia"/>
        </w:rPr>
        <w:t>微观</w:t>
      </w:r>
      <w:r w:rsidR="00600D92">
        <w:rPr>
          <w:rFonts w:hint="eastAsia"/>
        </w:rPr>
        <w:t>机制</w:t>
      </w:r>
      <w:r w:rsidR="004443A6">
        <w:rPr>
          <w:rFonts w:hint="eastAsia"/>
        </w:rPr>
        <w:t>到宏观</w:t>
      </w:r>
      <w:r w:rsidR="00600D92">
        <w:rPr>
          <w:rFonts w:hint="eastAsia"/>
        </w:rPr>
        <w:t>代理指标</w:t>
      </w:r>
      <w:r w:rsidR="004443A6">
        <w:rPr>
          <w:rFonts w:hint="eastAsia"/>
        </w:rPr>
        <w:t>的映射，以及</w:t>
      </w:r>
      <w:r w:rsidR="00A13D74">
        <w:rPr>
          <w:rFonts w:hint="eastAsia"/>
        </w:rPr>
        <w:t>融合</w:t>
      </w:r>
      <w:r w:rsidR="00611CB9">
        <w:rPr>
          <w:rFonts w:hint="eastAsia"/>
        </w:rPr>
        <w:t>静态指标</w:t>
      </w:r>
      <w:r w:rsidR="00851E75" w:rsidRPr="002563D5">
        <w:rPr>
          <w:rFonts w:hint="eastAsia"/>
        </w:rPr>
        <w:t>与</w:t>
      </w:r>
      <w:r w:rsidR="00611CB9">
        <w:rPr>
          <w:rFonts w:hint="eastAsia"/>
        </w:rPr>
        <w:t>动态</w:t>
      </w:r>
      <w:r w:rsidR="005F5733" w:rsidRPr="002563D5">
        <w:rPr>
          <w:rFonts w:hint="eastAsia"/>
        </w:rPr>
        <w:t>生命体征</w:t>
      </w:r>
      <w:r w:rsidR="00F60659">
        <w:rPr>
          <w:rFonts w:hint="eastAsia"/>
        </w:rPr>
        <w:t>在</w:t>
      </w:r>
      <w:r w:rsidR="004443A6">
        <w:rPr>
          <w:rFonts w:hint="eastAsia"/>
        </w:rPr>
        <w:t>多时间窗口</w:t>
      </w:r>
      <w:r w:rsidR="00F60659">
        <w:rPr>
          <w:rFonts w:hint="eastAsia"/>
        </w:rPr>
        <w:t>对冠心病</w:t>
      </w:r>
      <w:r w:rsidR="00A13D74">
        <w:rPr>
          <w:rFonts w:hint="eastAsia"/>
        </w:rPr>
        <w:t>进行</w:t>
      </w:r>
      <w:r w:rsidR="00851E75" w:rsidRPr="002563D5">
        <w:t>预后</w:t>
      </w:r>
      <w:r w:rsidR="004443A6">
        <w:rPr>
          <w:rFonts w:hint="eastAsia"/>
        </w:rPr>
        <w:t>评估</w:t>
      </w:r>
      <w:r w:rsidR="00851E75" w:rsidRPr="002563D5">
        <w:t>等关键问题</w:t>
      </w:r>
      <w:r w:rsidR="0043241B" w:rsidRPr="002563D5">
        <w:t>，</w:t>
      </w:r>
      <w:r w:rsidR="0043241B">
        <w:t>选题具有</w:t>
      </w:r>
      <w:r w:rsidR="0043241B">
        <w:rPr>
          <w:rFonts w:hint="eastAsia"/>
        </w:rPr>
        <w:t>(</w:t>
      </w:r>
      <w:r w:rsidR="0043241B">
        <w:t>重要</w:t>
      </w:r>
      <w:r w:rsidR="0043241B">
        <w:rPr>
          <w:rFonts w:hint="eastAsia"/>
        </w:rPr>
        <w:t>/较为重要/一定)的学术</w:t>
      </w:r>
      <w:r w:rsidR="0043241B">
        <w:t>意义。</w:t>
      </w:r>
    </w:p>
    <w:p w14:paraId="2FACADEA" w14:textId="77777777" w:rsidR="001B078A" w:rsidRDefault="0043241B" w:rsidP="001B35D9">
      <w:pPr>
        <w:adjustRightInd w:val="0"/>
        <w:snapToGrid w:val="0"/>
        <w:spacing w:line="360" w:lineRule="auto"/>
        <w:ind w:firstLineChars="200" w:firstLine="480"/>
        <w:jc w:val="both"/>
      </w:pPr>
      <w:r>
        <w:rPr>
          <w:rFonts w:hint="eastAsia"/>
        </w:rPr>
        <w:t>论文的主要工作和研究成果包括：</w:t>
      </w:r>
    </w:p>
    <w:p w14:paraId="0E98A461" w14:textId="1AE0DA71" w:rsidR="001B078A" w:rsidRPr="002563D5" w:rsidRDefault="0043241B" w:rsidP="001B35D9">
      <w:pPr>
        <w:adjustRightInd w:val="0"/>
        <w:snapToGrid w:val="0"/>
        <w:spacing w:line="360" w:lineRule="auto"/>
        <w:ind w:firstLineChars="200" w:firstLine="480"/>
        <w:jc w:val="both"/>
      </w:pPr>
      <w:r>
        <w:t>1</w:t>
      </w:r>
      <w:r w:rsidR="001E7ED8">
        <w:rPr>
          <w:rFonts w:hint="eastAsia"/>
        </w:rPr>
        <w:t>．</w:t>
      </w:r>
      <w:r w:rsidR="00B26C10" w:rsidRPr="002563D5">
        <w:rPr>
          <w:rFonts w:hint="eastAsia"/>
        </w:rPr>
        <w:t>给</w:t>
      </w:r>
      <w:r w:rsidR="00B26C10" w:rsidRPr="002563D5">
        <w:t>出基于多视角一致性聚类与交集筛选约束的分析方法，识别出与冠心病预后密切相关的脂蛋白组学微观信号，如血清淀粉样蛋白A4和特定鞘磷脂</w:t>
      </w:r>
      <w:r w:rsidR="00D12AA7" w:rsidRPr="002563D5">
        <w:rPr>
          <w:rFonts w:hint="eastAsia"/>
        </w:rPr>
        <w:t>，</w:t>
      </w:r>
      <w:r w:rsidR="00D12AA7" w:rsidRPr="002563D5">
        <w:t>为心血管疾病风险评估提供了生物标志物依据</w:t>
      </w:r>
      <w:r w:rsidR="0071585A" w:rsidRPr="002563D5">
        <w:t>；</w:t>
      </w:r>
    </w:p>
    <w:p w14:paraId="10E6E3D3" w14:textId="2D06FE3B" w:rsidR="001B078A" w:rsidRPr="002563D5" w:rsidRDefault="0043241B" w:rsidP="001B35D9">
      <w:pPr>
        <w:adjustRightInd w:val="0"/>
        <w:snapToGrid w:val="0"/>
        <w:spacing w:afterLines="50" w:after="156" w:line="360" w:lineRule="auto"/>
        <w:ind w:firstLineChars="200" w:firstLine="480"/>
        <w:jc w:val="both"/>
      </w:pPr>
      <w:r w:rsidRPr="002563D5">
        <w:t>2</w:t>
      </w:r>
      <w:r w:rsidR="001E7ED8" w:rsidRPr="002563D5">
        <w:rPr>
          <w:rFonts w:hint="eastAsia"/>
        </w:rPr>
        <w:t>．</w:t>
      </w:r>
      <w:r w:rsidR="007F7F9F" w:rsidRPr="002563D5">
        <w:t>构建微观—宏观跨尺度特征映射框架，将组学机制转化为 RDW、</w:t>
      </w:r>
      <w:r w:rsidR="008F5E1B">
        <w:rPr>
          <w:rFonts w:hint="eastAsia"/>
        </w:rPr>
        <w:t>CR</w:t>
      </w:r>
      <w:r w:rsidR="007F7F9F" w:rsidRPr="002563D5">
        <w:t>、BUN 等临床</w:t>
      </w:r>
      <w:r w:rsidR="008F5E1B">
        <w:rPr>
          <w:rFonts w:hint="eastAsia"/>
        </w:rPr>
        <w:t>易获取的</w:t>
      </w:r>
      <w:r w:rsidR="007F7F9F" w:rsidRPr="002563D5">
        <w:t>代理指标，并在 MIMIC-IV 大规模冠心病队列中验证其预后关联与模型性能提升</w:t>
      </w:r>
      <w:r w:rsidR="00FD6EEA" w:rsidRPr="002563D5">
        <w:t>；</w:t>
      </w:r>
    </w:p>
    <w:p w14:paraId="068ABF1E" w14:textId="395430E8" w:rsidR="00CC09B4" w:rsidRPr="002563D5" w:rsidRDefault="00CC09B4" w:rsidP="001B35D9">
      <w:pPr>
        <w:adjustRightInd w:val="0"/>
        <w:snapToGrid w:val="0"/>
        <w:spacing w:afterLines="50" w:after="156" w:line="360" w:lineRule="auto"/>
        <w:ind w:firstLineChars="200" w:firstLine="480"/>
        <w:jc w:val="both"/>
      </w:pPr>
      <w:r w:rsidRPr="002563D5">
        <w:rPr>
          <w:rFonts w:hint="eastAsia"/>
        </w:rPr>
        <w:t xml:space="preserve">3. </w:t>
      </w:r>
      <w:r w:rsidR="00B26C10" w:rsidRPr="002563D5">
        <w:t>构建融合静态代理指标与 ICU 首日生命体征时序的 LSTM-MLP 多模态预后模型，实现 3 天、7 天、30 天、180 天和 365 天的风险预测，并通过 SHAP 分析揭示不同时间窗口下的风险驱动因素差异</w:t>
      </w:r>
      <w:r w:rsidR="007A2542" w:rsidRPr="002563D5">
        <w:rPr>
          <w:rFonts w:hint="eastAsia"/>
        </w:rPr>
        <w:t>，</w:t>
      </w:r>
      <w:r w:rsidR="007A2542" w:rsidRPr="002563D5">
        <w:t>验证了临床多源数据在预后评估中的应用价值</w:t>
      </w:r>
      <w:r w:rsidR="00B26C10" w:rsidRPr="002563D5">
        <w:t>。</w:t>
      </w:r>
    </w:p>
    <w:p w14:paraId="04BECD2E" w14:textId="35E4E121" w:rsidR="001B078A" w:rsidRPr="00B306F2" w:rsidRDefault="0043241B" w:rsidP="001B35D9">
      <w:pPr>
        <w:adjustRightInd w:val="0"/>
        <w:snapToGrid w:val="0"/>
        <w:spacing w:afterLines="50" w:after="156" w:line="360" w:lineRule="auto"/>
        <w:ind w:firstLineChars="200" w:firstLine="480"/>
        <w:jc w:val="both"/>
      </w:pPr>
      <w:r w:rsidRPr="00B306F2">
        <w:rPr>
          <w:rFonts w:hint="eastAsia"/>
        </w:rPr>
        <w:t>论文逻辑（较）严密，结构（较）合理，写作（较）规范，工作量（较为）饱满，论文工作表明作者</w:t>
      </w:r>
      <w:r w:rsidR="00B306F2" w:rsidRPr="00B306F2">
        <w:rPr>
          <w:rFonts w:hint="eastAsia"/>
        </w:rPr>
        <w:t>掌握了</w:t>
      </w:r>
      <w:r w:rsidR="00164610">
        <w:rPr>
          <w:rFonts w:hint="eastAsia"/>
        </w:rPr>
        <w:t>本学科</w:t>
      </w:r>
      <w:r w:rsidR="00B306F2" w:rsidRPr="00B306F2">
        <w:rPr>
          <w:rFonts w:hint="eastAsia"/>
        </w:rPr>
        <w:t>坚实的</w:t>
      </w:r>
      <w:r w:rsidRPr="00B306F2">
        <w:rPr>
          <w:rFonts w:hint="eastAsia"/>
        </w:rPr>
        <w:t>基础理论和</w:t>
      </w:r>
      <w:r w:rsidR="00B306F2" w:rsidRPr="00B306F2">
        <w:rPr>
          <w:rFonts w:hint="eastAsia"/>
        </w:rPr>
        <w:t>系统的专门知识，已具</w:t>
      </w:r>
      <w:r w:rsidR="00164610">
        <w:rPr>
          <w:rFonts w:hint="eastAsia"/>
        </w:rPr>
        <w:t>备</w:t>
      </w:r>
      <w:r w:rsidRPr="00B306F2">
        <w:rPr>
          <w:rFonts w:hint="eastAsia"/>
        </w:rPr>
        <w:t>从事学术研究工作的能力。</w:t>
      </w:r>
    </w:p>
    <w:p w14:paraId="26D201AE" w14:textId="08E8050C" w:rsidR="001B078A" w:rsidRPr="00B306F2" w:rsidRDefault="00DA2331" w:rsidP="001B35D9">
      <w:pPr>
        <w:adjustRightInd w:val="0"/>
        <w:snapToGrid w:val="0"/>
        <w:spacing w:afterLines="50" w:after="156" w:line="360" w:lineRule="auto"/>
        <w:ind w:firstLineChars="200" w:firstLine="480"/>
        <w:jc w:val="both"/>
      </w:pPr>
      <w:r w:rsidRPr="000D2DFB">
        <w:rPr>
          <w:rFonts w:hint="eastAsia"/>
        </w:rPr>
        <w:t>许荣仁</w:t>
      </w:r>
      <w:r w:rsidR="0043241B" w:rsidRPr="00B306F2">
        <w:rPr>
          <w:rFonts w:hint="eastAsia"/>
        </w:rPr>
        <w:t>在答辩过程中思路（较）清晰，表达（较）流畅，回答问题（基本）</w:t>
      </w:r>
      <w:r w:rsidR="009F21A1">
        <w:rPr>
          <w:rFonts w:hint="eastAsia"/>
        </w:rPr>
        <w:t>准</w:t>
      </w:r>
      <w:r w:rsidR="0043241B" w:rsidRPr="00B306F2">
        <w:rPr>
          <w:rFonts w:hint="eastAsia"/>
        </w:rPr>
        <w:t>确。</w:t>
      </w:r>
    </w:p>
    <w:p w14:paraId="137CC9C2" w14:textId="28847DBF" w:rsidR="001B078A" w:rsidRPr="00ED39CD" w:rsidRDefault="0043241B" w:rsidP="00ED39CD">
      <w:pPr>
        <w:adjustRightInd w:val="0"/>
        <w:snapToGrid w:val="0"/>
        <w:spacing w:afterLines="50" w:after="156" w:line="420" w:lineRule="auto"/>
        <w:ind w:firstLineChars="200" w:firstLine="480"/>
        <w:jc w:val="both"/>
        <w:rPr>
          <w:rFonts w:hint="eastAsia"/>
        </w:rPr>
      </w:pPr>
      <w:r w:rsidRPr="00B306F2">
        <w:rPr>
          <w:rFonts w:hint="eastAsia"/>
        </w:rPr>
        <w:t>答辩委员会</w:t>
      </w:r>
      <w:r w:rsidR="007D1B32">
        <w:rPr>
          <w:rFonts w:hint="eastAsia"/>
        </w:rPr>
        <w:t>经</w:t>
      </w:r>
      <w:r w:rsidRPr="00B306F2">
        <w:rPr>
          <w:rFonts w:hint="eastAsia"/>
        </w:rPr>
        <w:t>无记名投票表决</w:t>
      </w:r>
      <w:r w:rsidR="00DA2766">
        <w:t>______</w:t>
      </w:r>
      <w:r w:rsidR="00DA2766">
        <w:rPr>
          <w:rFonts w:hint="eastAsia"/>
        </w:rPr>
        <w:t>（一致同意或</w:t>
      </w:r>
      <w:r w:rsidR="00DA2331">
        <w:rPr>
          <w:rFonts w:hint="eastAsia"/>
          <w:color w:val="FF0000"/>
        </w:rPr>
        <w:t xml:space="preserve">  </w:t>
      </w:r>
      <w:r w:rsidR="00DA2766" w:rsidRPr="00C13D84">
        <w:rPr>
          <w:rFonts w:hint="eastAsia"/>
          <w:color w:val="FF0000"/>
        </w:rPr>
        <w:t>票</w:t>
      </w:r>
      <w:r w:rsidR="00DA2766">
        <w:rPr>
          <w:rFonts w:hint="eastAsia"/>
        </w:rPr>
        <w:t>同意、</w:t>
      </w:r>
      <w:r w:rsidR="00DA2331">
        <w:rPr>
          <w:rFonts w:hint="eastAsia"/>
          <w:color w:val="FF0000"/>
        </w:rPr>
        <w:t xml:space="preserve">  </w:t>
      </w:r>
      <w:r w:rsidR="00DA2766" w:rsidRPr="00C13D84">
        <w:rPr>
          <w:rFonts w:hint="eastAsia"/>
          <w:color w:val="FF0000"/>
        </w:rPr>
        <w:t>票</w:t>
      </w:r>
      <w:r w:rsidR="00DA2766">
        <w:rPr>
          <w:rFonts w:hint="eastAsia"/>
        </w:rPr>
        <w:t>不同意）</w:t>
      </w:r>
      <w:r w:rsidR="0048099C">
        <w:rPr>
          <w:rFonts w:hint="eastAsia"/>
        </w:rPr>
        <w:t>通过</w:t>
      </w:r>
      <w:r w:rsidR="00DA2331" w:rsidRPr="000D2DFB">
        <w:rPr>
          <w:rFonts w:hint="eastAsia"/>
        </w:rPr>
        <w:t>许荣仁</w:t>
      </w:r>
      <w:r w:rsidRPr="00B306F2">
        <w:rPr>
          <w:rFonts w:hint="eastAsia"/>
        </w:rPr>
        <w:t>的硕士学</w:t>
      </w:r>
      <w:r>
        <w:rPr>
          <w:rFonts w:hint="eastAsia"/>
        </w:rPr>
        <w:t>位论文答辩，建议授予</w:t>
      </w:r>
      <w:r w:rsidR="00A7035C">
        <w:rPr>
          <w:rFonts w:hint="eastAsia"/>
        </w:rPr>
        <w:t>工学</w:t>
      </w:r>
      <w:r>
        <w:rPr>
          <w:rFonts w:hint="eastAsia"/>
        </w:rPr>
        <w:t>硕士学位。</w:t>
      </w:r>
    </w:p>
    <w:sectPr w:rsidR="001B078A" w:rsidRPr="00ED39CD">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1B5DE" w14:textId="77777777" w:rsidR="000B21BA" w:rsidRDefault="000B21BA"/>
  </w:endnote>
  <w:endnote w:type="continuationSeparator" w:id="0">
    <w:p w14:paraId="17D67512" w14:textId="77777777" w:rsidR="000B21BA" w:rsidRDefault="000B21BA"/>
  </w:endnote>
  <w:endnote w:type="continuationNotice" w:id="1">
    <w:p w14:paraId="1707E8BD" w14:textId="77777777" w:rsidR="00D47F9B" w:rsidRDefault="00D47F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等线 Light">
    <w:altName w:val="DengXian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8733582"/>
      <w:docPartObj>
        <w:docPartGallery w:val="Page Numbers (Bottom of Page)"/>
        <w:docPartUnique/>
      </w:docPartObj>
    </w:sdtPr>
    <w:sdtContent>
      <w:sdt>
        <w:sdtPr>
          <w:id w:val="1728636285"/>
          <w:docPartObj>
            <w:docPartGallery w:val="Page Numbers (Top of Page)"/>
            <w:docPartUnique/>
          </w:docPartObj>
        </w:sdtPr>
        <w:sdtContent>
          <w:p w14:paraId="7A62FE7F" w14:textId="3AEDB107" w:rsidR="00DA2766" w:rsidRDefault="00DA2766">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0A3857">
              <w:rPr>
                <w:b/>
                <w:bCs/>
                <w:noProof/>
              </w:rPr>
              <w:t>4</w:t>
            </w:r>
            <w:r>
              <w:rPr>
                <w:b/>
                <w:bCs/>
                <w:sz w:val="24"/>
                <w:szCs w:val="24"/>
              </w:rPr>
              <w:fldChar w:fldCharType="end"/>
            </w:r>
            <w:r>
              <w:rPr>
                <w:lang w:val="zh-CN"/>
              </w:rPr>
              <w:t xml:space="preserve"> </w:t>
            </w:r>
            <w:r>
              <w:rPr>
                <w:lang w:val="zh-CN"/>
              </w:rPr>
              <w:t xml:space="preserve">/ </w:t>
            </w:r>
            <w:r>
              <w:rPr>
                <w:b/>
                <w:bCs/>
                <w:sz w:val="24"/>
                <w:szCs w:val="24"/>
              </w:rPr>
              <w:fldChar w:fldCharType="begin"/>
            </w:r>
            <w:r>
              <w:rPr>
                <w:b/>
                <w:bCs/>
              </w:rPr>
              <w:instrText>NUMPAGES</w:instrText>
            </w:r>
            <w:r>
              <w:rPr>
                <w:b/>
                <w:bCs/>
                <w:sz w:val="24"/>
                <w:szCs w:val="24"/>
              </w:rPr>
              <w:fldChar w:fldCharType="separate"/>
            </w:r>
            <w:r w:rsidR="000A3857">
              <w:rPr>
                <w:b/>
                <w:bCs/>
                <w:noProof/>
              </w:rPr>
              <w:t>4</w:t>
            </w:r>
            <w:r>
              <w:rPr>
                <w:b/>
                <w:bCs/>
                <w:sz w:val="24"/>
                <w:szCs w:val="24"/>
              </w:rPr>
              <w:fldChar w:fldCharType="end"/>
            </w:r>
          </w:p>
        </w:sdtContent>
      </w:sdt>
    </w:sdtContent>
  </w:sdt>
  <w:p w14:paraId="52B73087" w14:textId="77777777" w:rsidR="00DA2766" w:rsidRDefault="00DA276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332B7" w14:textId="77777777" w:rsidR="000B21BA" w:rsidRDefault="000B21BA"/>
  </w:footnote>
  <w:footnote w:type="continuationSeparator" w:id="0">
    <w:p w14:paraId="0EBD248E" w14:textId="77777777" w:rsidR="000B21BA" w:rsidRDefault="000B21BA"/>
  </w:footnote>
  <w:footnote w:type="continuationNotice" w:id="1">
    <w:p w14:paraId="6D6ADED6" w14:textId="77777777" w:rsidR="00D47F9B" w:rsidRDefault="00D47F9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8C4"/>
    <w:rsid w:val="00006B8F"/>
    <w:rsid w:val="00015BFC"/>
    <w:rsid w:val="00024C6F"/>
    <w:rsid w:val="0002584D"/>
    <w:rsid w:val="0002703E"/>
    <w:rsid w:val="00027189"/>
    <w:rsid w:val="00037F21"/>
    <w:rsid w:val="00046427"/>
    <w:rsid w:val="00062674"/>
    <w:rsid w:val="0006335E"/>
    <w:rsid w:val="000779F9"/>
    <w:rsid w:val="000A02E6"/>
    <w:rsid w:val="000A3857"/>
    <w:rsid w:val="000B19B5"/>
    <w:rsid w:val="000B21BA"/>
    <w:rsid w:val="000B70F8"/>
    <w:rsid w:val="000C4A41"/>
    <w:rsid w:val="000D2DFB"/>
    <w:rsid w:val="000E2BD6"/>
    <w:rsid w:val="00102DA7"/>
    <w:rsid w:val="00104815"/>
    <w:rsid w:val="00112DF5"/>
    <w:rsid w:val="00127528"/>
    <w:rsid w:val="00134700"/>
    <w:rsid w:val="00164610"/>
    <w:rsid w:val="001716C2"/>
    <w:rsid w:val="00172E3B"/>
    <w:rsid w:val="001758BE"/>
    <w:rsid w:val="00194607"/>
    <w:rsid w:val="001A0EA7"/>
    <w:rsid w:val="001A2E1D"/>
    <w:rsid w:val="001A3E1D"/>
    <w:rsid w:val="001B078A"/>
    <w:rsid w:val="001B35D9"/>
    <w:rsid w:val="001C5C0F"/>
    <w:rsid w:val="001E6259"/>
    <w:rsid w:val="001E7ED8"/>
    <w:rsid w:val="001F1226"/>
    <w:rsid w:val="00214750"/>
    <w:rsid w:val="00255439"/>
    <w:rsid w:val="002563D5"/>
    <w:rsid w:val="00270EAF"/>
    <w:rsid w:val="00291DB7"/>
    <w:rsid w:val="002928C4"/>
    <w:rsid w:val="00295697"/>
    <w:rsid w:val="002B5076"/>
    <w:rsid w:val="002C7047"/>
    <w:rsid w:val="002E392E"/>
    <w:rsid w:val="00311E08"/>
    <w:rsid w:val="0032167D"/>
    <w:rsid w:val="00382470"/>
    <w:rsid w:val="003A1912"/>
    <w:rsid w:val="003A65B3"/>
    <w:rsid w:val="003C2410"/>
    <w:rsid w:val="003E2326"/>
    <w:rsid w:val="004113B4"/>
    <w:rsid w:val="00413BD9"/>
    <w:rsid w:val="0043241B"/>
    <w:rsid w:val="00435426"/>
    <w:rsid w:val="004443A6"/>
    <w:rsid w:val="0045526B"/>
    <w:rsid w:val="0045714D"/>
    <w:rsid w:val="0048099C"/>
    <w:rsid w:val="004C2D61"/>
    <w:rsid w:val="004D0A89"/>
    <w:rsid w:val="004F0682"/>
    <w:rsid w:val="005219AB"/>
    <w:rsid w:val="00546588"/>
    <w:rsid w:val="005567BC"/>
    <w:rsid w:val="005600D9"/>
    <w:rsid w:val="005644E4"/>
    <w:rsid w:val="005645B8"/>
    <w:rsid w:val="005A3A21"/>
    <w:rsid w:val="005A5866"/>
    <w:rsid w:val="005D7BC7"/>
    <w:rsid w:val="005D7FC0"/>
    <w:rsid w:val="005F5733"/>
    <w:rsid w:val="00600D92"/>
    <w:rsid w:val="00610F08"/>
    <w:rsid w:val="00611CB9"/>
    <w:rsid w:val="00617C6D"/>
    <w:rsid w:val="00666B3D"/>
    <w:rsid w:val="00670667"/>
    <w:rsid w:val="00687631"/>
    <w:rsid w:val="00696832"/>
    <w:rsid w:val="00697856"/>
    <w:rsid w:val="006C2BA2"/>
    <w:rsid w:val="006D6B35"/>
    <w:rsid w:val="006F0440"/>
    <w:rsid w:val="006F3A3C"/>
    <w:rsid w:val="006F4634"/>
    <w:rsid w:val="006F4AE3"/>
    <w:rsid w:val="00700379"/>
    <w:rsid w:val="00713011"/>
    <w:rsid w:val="0071482A"/>
    <w:rsid w:val="0071585A"/>
    <w:rsid w:val="00715C90"/>
    <w:rsid w:val="00725C5E"/>
    <w:rsid w:val="007263C6"/>
    <w:rsid w:val="0072796B"/>
    <w:rsid w:val="007462C8"/>
    <w:rsid w:val="00785A15"/>
    <w:rsid w:val="007923A5"/>
    <w:rsid w:val="007A2542"/>
    <w:rsid w:val="007A4512"/>
    <w:rsid w:val="007A65F9"/>
    <w:rsid w:val="007D1B32"/>
    <w:rsid w:val="007D4397"/>
    <w:rsid w:val="007F7F9F"/>
    <w:rsid w:val="0080104A"/>
    <w:rsid w:val="00801CEB"/>
    <w:rsid w:val="00812C8E"/>
    <w:rsid w:val="0081431A"/>
    <w:rsid w:val="00845F10"/>
    <w:rsid w:val="00851E75"/>
    <w:rsid w:val="008C693C"/>
    <w:rsid w:val="008F4318"/>
    <w:rsid w:val="008F5E1B"/>
    <w:rsid w:val="008F7141"/>
    <w:rsid w:val="009013E1"/>
    <w:rsid w:val="00902FF7"/>
    <w:rsid w:val="00910819"/>
    <w:rsid w:val="0092604A"/>
    <w:rsid w:val="009325AC"/>
    <w:rsid w:val="009443E1"/>
    <w:rsid w:val="00963668"/>
    <w:rsid w:val="009B05CB"/>
    <w:rsid w:val="009B218A"/>
    <w:rsid w:val="009C5ACF"/>
    <w:rsid w:val="009E3408"/>
    <w:rsid w:val="009F21A1"/>
    <w:rsid w:val="009F49D4"/>
    <w:rsid w:val="00A00A53"/>
    <w:rsid w:val="00A13D74"/>
    <w:rsid w:val="00A214D0"/>
    <w:rsid w:val="00A2612D"/>
    <w:rsid w:val="00A46D97"/>
    <w:rsid w:val="00A61C48"/>
    <w:rsid w:val="00A7035C"/>
    <w:rsid w:val="00AA4D2E"/>
    <w:rsid w:val="00AB5266"/>
    <w:rsid w:val="00AD10BE"/>
    <w:rsid w:val="00AF0308"/>
    <w:rsid w:val="00B00123"/>
    <w:rsid w:val="00B26C10"/>
    <w:rsid w:val="00B306F2"/>
    <w:rsid w:val="00B35B0D"/>
    <w:rsid w:val="00B4429A"/>
    <w:rsid w:val="00B50217"/>
    <w:rsid w:val="00B60299"/>
    <w:rsid w:val="00B81E00"/>
    <w:rsid w:val="00B81FBF"/>
    <w:rsid w:val="00B82019"/>
    <w:rsid w:val="00BA258C"/>
    <w:rsid w:val="00BB4026"/>
    <w:rsid w:val="00C30493"/>
    <w:rsid w:val="00C53692"/>
    <w:rsid w:val="00C60B4D"/>
    <w:rsid w:val="00C623E6"/>
    <w:rsid w:val="00C77E41"/>
    <w:rsid w:val="00C94309"/>
    <w:rsid w:val="00C95073"/>
    <w:rsid w:val="00CC09B4"/>
    <w:rsid w:val="00CD2C72"/>
    <w:rsid w:val="00D00758"/>
    <w:rsid w:val="00D12AA7"/>
    <w:rsid w:val="00D47F9B"/>
    <w:rsid w:val="00D7070C"/>
    <w:rsid w:val="00D764F1"/>
    <w:rsid w:val="00D84498"/>
    <w:rsid w:val="00D956CB"/>
    <w:rsid w:val="00DA2331"/>
    <w:rsid w:val="00DA2766"/>
    <w:rsid w:val="00DA7BC3"/>
    <w:rsid w:val="00DC513A"/>
    <w:rsid w:val="00E0304A"/>
    <w:rsid w:val="00E20860"/>
    <w:rsid w:val="00E35B11"/>
    <w:rsid w:val="00E36974"/>
    <w:rsid w:val="00E4197A"/>
    <w:rsid w:val="00E932E3"/>
    <w:rsid w:val="00E9781B"/>
    <w:rsid w:val="00EB48D1"/>
    <w:rsid w:val="00EC1CD7"/>
    <w:rsid w:val="00ED39CD"/>
    <w:rsid w:val="00EE1A60"/>
    <w:rsid w:val="00F03472"/>
    <w:rsid w:val="00F06B7F"/>
    <w:rsid w:val="00F075B1"/>
    <w:rsid w:val="00F37D27"/>
    <w:rsid w:val="00F4056B"/>
    <w:rsid w:val="00F60659"/>
    <w:rsid w:val="00F7653C"/>
    <w:rsid w:val="00F9244F"/>
    <w:rsid w:val="00F92D33"/>
    <w:rsid w:val="00FA48F2"/>
    <w:rsid w:val="00FA4D28"/>
    <w:rsid w:val="00FD59EA"/>
    <w:rsid w:val="00FD6EEA"/>
    <w:rsid w:val="00FE7661"/>
    <w:rsid w:val="00FF23F6"/>
    <w:rsid w:val="00FF536F"/>
    <w:rsid w:val="1CD37CCF"/>
    <w:rsid w:val="349618B6"/>
    <w:rsid w:val="393F42CA"/>
    <w:rsid w:val="3C344556"/>
    <w:rsid w:val="46A63BDA"/>
    <w:rsid w:val="6110461A"/>
    <w:rsid w:val="78146346"/>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C9742B"/>
  <w15:docId w15:val="{3E68929C-7383-49B3-84D3-69AB66F95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hAnsi="SimSun" w:cs="SimSu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style>
  <w:style w:type="paragraph" w:styleId="a5">
    <w:name w:val="Balloon Text"/>
    <w:basedOn w:val="a"/>
    <w:link w:val="a6"/>
    <w:uiPriority w:val="99"/>
    <w:unhideWhenUsed/>
    <w:qFormat/>
    <w:rPr>
      <w:sz w:val="18"/>
      <w:szCs w:val="18"/>
    </w:rPr>
  </w:style>
  <w:style w:type="paragraph" w:styleId="a7">
    <w:name w:val="footer"/>
    <w:basedOn w:val="a"/>
    <w:link w:val="a8"/>
    <w:uiPriority w:val="99"/>
    <w:unhideWhenUsed/>
    <w:qFormat/>
    <w:pPr>
      <w:widowControl w:val="0"/>
      <w:tabs>
        <w:tab w:val="center" w:pos="4153"/>
        <w:tab w:val="right" w:pos="8306"/>
      </w:tabs>
      <w:snapToGrid w:val="0"/>
    </w:pPr>
    <w:rPr>
      <w:rFonts w:asciiTheme="minorHAnsi" w:eastAsiaTheme="minorEastAsia" w:hAnsiTheme="minorHAnsi" w:cstheme="minorBidi"/>
      <w:kern w:val="2"/>
      <w:sz w:val="18"/>
      <w:szCs w:val="18"/>
    </w:rPr>
  </w:style>
  <w:style w:type="paragraph" w:styleId="a9">
    <w:name w:val="header"/>
    <w:basedOn w:val="a"/>
    <w:link w:val="aa"/>
    <w:uiPriority w:val="99"/>
    <w:unhideWhenUsed/>
    <w:qFormat/>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paragraph" w:styleId="ab">
    <w:name w:val="Normal (Web)"/>
    <w:basedOn w:val="a"/>
    <w:uiPriority w:val="99"/>
    <w:unhideWhenUsed/>
    <w:qFormat/>
    <w:pPr>
      <w:spacing w:before="100" w:beforeAutospacing="1" w:after="100" w:afterAutospacing="1"/>
    </w:pPr>
  </w:style>
  <w:style w:type="paragraph" w:styleId="ac">
    <w:name w:val="annotation subject"/>
    <w:basedOn w:val="a3"/>
    <w:next w:val="a3"/>
    <w:link w:val="ad"/>
    <w:uiPriority w:val="99"/>
    <w:unhideWhenUsed/>
    <w:qFormat/>
    <w:rPr>
      <w:b/>
      <w:bCs/>
    </w:r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4">
    <w:name w:val="批注文字 字符"/>
    <w:basedOn w:val="a0"/>
    <w:link w:val="a3"/>
    <w:uiPriority w:val="99"/>
    <w:semiHidden/>
    <w:qFormat/>
    <w:rPr>
      <w:rFonts w:ascii="SimSun" w:eastAsia="SimSun" w:hAnsi="SimSun" w:cs="SimSun"/>
      <w:kern w:val="0"/>
      <w:sz w:val="24"/>
      <w:szCs w:val="24"/>
    </w:rPr>
  </w:style>
  <w:style w:type="character" w:customStyle="1" w:styleId="ad">
    <w:name w:val="批注主题 字符"/>
    <w:basedOn w:val="a4"/>
    <w:link w:val="ac"/>
    <w:uiPriority w:val="99"/>
    <w:semiHidden/>
    <w:qFormat/>
    <w:rPr>
      <w:rFonts w:ascii="SimSun" w:eastAsia="SimSun" w:hAnsi="SimSun" w:cs="SimSun"/>
      <w:b/>
      <w:bCs/>
      <w:kern w:val="0"/>
      <w:sz w:val="24"/>
      <w:szCs w:val="24"/>
    </w:rPr>
  </w:style>
  <w:style w:type="character" w:customStyle="1" w:styleId="a6">
    <w:name w:val="批注框文本 字符"/>
    <w:basedOn w:val="a0"/>
    <w:link w:val="a5"/>
    <w:uiPriority w:val="99"/>
    <w:semiHidden/>
    <w:qFormat/>
    <w:rPr>
      <w:rFonts w:ascii="SimSun" w:eastAsia="SimSun" w:hAnsi="SimSun" w:cs="SimSun"/>
      <w:kern w:val="0"/>
      <w:sz w:val="18"/>
      <w:szCs w:val="18"/>
    </w:rPr>
  </w:style>
  <w:style w:type="paragraph" w:customStyle="1" w:styleId="1">
    <w:name w:val="修订1"/>
    <w:hidden/>
    <w:uiPriority w:val="99"/>
    <w:semiHidden/>
    <w:qFormat/>
    <w:rPr>
      <w:rFonts w:ascii="SimSun" w:hAnsi="SimSun" w:cs="SimSun"/>
      <w:sz w:val="24"/>
      <w:szCs w:val="24"/>
    </w:rPr>
  </w:style>
  <w:style w:type="paragraph" w:styleId="af0">
    <w:name w:val="Revision"/>
    <w:hidden/>
    <w:uiPriority w:val="99"/>
    <w:unhideWhenUsed/>
    <w:rsid w:val="00B81FBF"/>
    <w:rPr>
      <w:rFonts w:ascii="SimSun" w:hAnsi="SimSun" w:cs="SimSu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EE219-E0A6-4A2E-94AF-820CD0DC7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655</Words>
  <Characters>73</Characters>
  <Application>Microsoft Office Word</Application>
  <DocSecurity>0</DocSecurity>
  <Lines>1</Lines>
  <Paragraphs>1</Paragraphs>
  <ScaleCrop>false</ScaleCrop>
  <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ustc</dc:creator>
  <cp:keywords/>
  <cp:lastModifiedBy>许 荣仁</cp:lastModifiedBy>
  <cp:revision>38</cp:revision>
  <cp:lastPrinted>2026-05-16T19:22:00Z</cp:lastPrinted>
  <dcterms:created xsi:type="dcterms:W3CDTF">2026-05-14T11:32:00Z</dcterms:created>
  <dcterms:modified xsi:type="dcterms:W3CDTF">2026-05-26T10:40:00Z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0976a867230c89fd4a892f6348b350a1c307f8c67e62f707690979844326737b</vt:lpwstr>
  </property>
  <property fmtid="{D5CDD505-2E9C-101B-9397-08002B2CF9AE}" pid="3" name="ICV">
    <vt:lpwstr>49A70D6B253B8C52D6593467B1656531_31</vt:lpwstr>
  </property>
  <property fmtid="{D5CDD505-2E9C-101B-9397-08002B2CF9AE}" pid="4" name="KSOProductBuildVer">
    <vt:lpwstr>2052-12.1.0.21171</vt:lpwstr>
  </property>
  <property fmtid="{D5CDD505-2E9C-101B-9397-08002B2CF9AE}" pid="5" name="KSOTemplateDocerSaveRecord">
    <vt:lpwstr>eyJoZGlkIjoiZWQwODY5Zjg0YzVjM2NhYTYwOTRlNWQxYjJjZDI4ZjAiLCJ1c2VySWQiOiIzOTI5ODM3NTEifQ==</vt:lpwstr>
  </property>
</Properties>
</file>