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69D98" w14:textId="442B9B48" w:rsidR="00484449" w:rsidRDefault="00B446E5">
      <w:r w:rsidRPr="00B446E5">
        <w:t>基于混合深度神经网络的新型组合策略生物医学事件提取</w:t>
      </w:r>
    </w:p>
    <w:p w14:paraId="57F0E37C" w14:textId="0398BEBD" w:rsidR="00B446E5" w:rsidRDefault="00B446E5">
      <w:r>
        <w:rPr>
          <w:rFonts w:hint="eastAsia"/>
        </w:rPr>
        <w:t>摘要：</w:t>
      </w:r>
    </w:p>
    <w:p w14:paraId="15DA0C24" w14:textId="62F0B3D8" w:rsidR="00B446E5" w:rsidRDefault="00B446E5">
      <w:r>
        <w:rPr>
          <w:rFonts w:hint="eastAsia"/>
        </w:rPr>
        <w:t>背景：</w:t>
      </w:r>
      <w:r w:rsidRPr="00B446E5">
        <w:t>生物医学事件提取是一项基本且需求很大的技术，引起了许多研究人员的浓厚兴趣。以前的工作在很大程度上依赖于手动设计的功能和外部NLP程序包，其中功能工程庞大而复杂。 此外，大多数现有工作都使用流水线过程，该过程将任务分解为简单的子任务，但忽略了它们之间的交互。 为了克服这些限制，我们提出了一种基于混合深度神经网络的新颖事件组合策略，以端到端的联合方式完成任务。</w:t>
      </w:r>
    </w:p>
    <w:p w14:paraId="473060E0" w14:textId="2E440A0C" w:rsidR="00B446E5" w:rsidRDefault="00B446E5">
      <w:r>
        <w:rPr>
          <w:rFonts w:hint="eastAsia"/>
        </w:rPr>
        <w:t>结果：</w:t>
      </w:r>
      <w:r w:rsidRPr="00B446E5">
        <w:t>我们将我们的方法调整为适用于生物医学事件提取任务的多个带注释的语料库。 与所有这些语料库的现有方法相比，我们的方法获得了最先进的性能，整体F1分数得到了显着提高。</w:t>
      </w:r>
    </w:p>
    <w:p w14:paraId="03422E5A" w14:textId="04549F84" w:rsidR="00B446E5" w:rsidRDefault="00B446E5">
      <w:r>
        <w:rPr>
          <w:rFonts w:hint="eastAsia"/>
        </w:rPr>
        <w:t>结论：</w:t>
      </w:r>
      <w:r w:rsidRPr="00B446E5">
        <w:t>实验结果表明，我们的方法是有效的生物医学事件提取。 组合策略可以从深度神经网络的输出中重建复杂事件，而深度神经网络可以有效地从原始文本捕获特征表示。 可在http://www.predictor.xin/event_extraction上在线获取生物医学事件提取实现。</w:t>
      </w:r>
    </w:p>
    <w:p w14:paraId="3D782F72" w14:textId="46C0ED7F" w:rsidR="00B446E5" w:rsidRDefault="00B446E5"/>
    <w:p w14:paraId="72640D1B" w14:textId="1B266657" w:rsidR="00B446E5" w:rsidRDefault="00B446E5">
      <w:r>
        <w:rPr>
          <w:rFonts w:hint="eastAsia"/>
        </w:rPr>
        <w:t>背景：</w:t>
      </w:r>
    </w:p>
    <w:p w14:paraId="2B30D92B" w14:textId="4C99F69F" w:rsidR="00B446E5" w:rsidRDefault="00B446E5">
      <w:r w:rsidRPr="00B446E5">
        <w:t>在2018年，PubMed记录了2800万篇论文[1]，这反映了生物医学文献的快速增长。 生物医学文献报道的知识和发现受到了广泛关注，但是大量文献对信息检索提出了挑战。 因此，文本挖掘已成为一种需求技术和流行的研究重点。 事件提取是一种从非结构化文本表示结构化知识的有效方法[2]，是文本挖掘的一项基本技术。 然而，由于生物医学中事件的复杂性和任意性，事件提取特别困难，因此迫切需要相关研究[3]。</w:t>
      </w:r>
    </w:p>
    <w:p w14:paraId="49971F62" w14:textId="006DD6D8" w:rsidR="00BD7A9E" w:rsidRDefault="00BD7A9E">
      <w:r w:rsidRPr="00BD7A9E">
        <w:t>根据</w:t>
      </w:r>
      <w:proofErr w:type="spellStart"/>
      <w:r w:rsidRPr="00BD7A9E">
        <w:t>BioNLP</w:t>
      </w:r>
      <w:proofErr w:type="spellEnd"/>
      <w:r w:rsidRPr="00BD7A9E">
        <w:t xml:space="preserve"> [4]，生物医学事件的定义包括（1）触发词，表示事件的存在并属于某个事件类型，以及（2）多个自变量，可以在其中查看自变量 作为事件触发器与实体或其他事件之间的关系，每个自变量也具有自变量类型。 因此，事件提取的任务是从原始文本中识别事件触发器及其参数。</w:t>
      </w:r>
    </w:p>
    <w:p w14:paraId="10D7C9F4" w14:textId="696611E6" w:rsidR="00BD7A9E" w:rsidRDefault="00BD7A9E">
      <w:r w:rsidRPr="00BD7A9E">
        <w:t>我们以图1为例说明生物医学事件。 “促进”一词是“积极监管”事件类型的事件触发因素。 该事件具有与“肿瘤发生”这个词相关的“主题”论点，“肿瘤发生”是一种致癌类型的实体，而“原因”论点则与“过度表达”有关。 注意，某些事件可以作为其他事件的参数，例如，嵌套结构，例如充当基因表达事件触发器的“过表达”以及“正向调节”事件的参数。 因此，可以将事件视为文本中的有向图，其中图的节点是事件触发器或实体，并且有向边指示自变量。</w:t>
      </w:r>
    </w:p>
    <w:p w14:paraId="0BC993AD" w14:textId="1ED05DF1" w:rsidR="00BD7A9E" w:rsidRDefault="00BD7A9E">
      <w:r w:rsidRPr="00BD7A9E">
        <w:t xml:space="preserve">由于将生物医学事件提取定义为标准任务，因此提出了各种方法。以前的大多数工作可以分为三类：基于规则的方法[5、6]，传统的浅层机器学习模型和深度学习模型。 Turku事件提取系统（TEES）[7，8]是一种生物医学事件提取系统，它使用依赖项解析中的丰富功能。 TEES通过将整个任务分解为简单的连续图节点和边缘分类任务，从而利用了基于多类SVM的逐步方法。 </w:t>
      </w:r>
      <w:proofErr w:type="spellStart"/>
      <w:r w:rsidRPr="00BD7A9E">
        <w:t>EventMine</w:t>
      </w:r>
      <w:proofErr w:type="spellEnd"/>
      <w:r w:rsidRPr="00BD7A9E">
        <w:t xml:space="preserve"> [9]是具有手工功能的基于SVM的类似流水线方法。 Majumder等。 [10]开发了用于生物医学事件提取的堆叠模型。系统使用SVC，SGD和LR作为基本级别的分类器，并以SVC作为元级别的分类器。基于过渡的事件提取模型[11]是另一种利用结构化感知进行波束搜索进行编码和解码的方法，以找到全局最佳预测。</w:t>
      </w:r>
    </w:p>
    <w:p w14:paraId="3AB09BFA" w14:textId="361C7D0E" w:rsidR="00BD7A9E" w:rsidRDefault="00BD7A9E">
      <w:r w:rsidRPr="00BD7A9E">
        <w:t xml:space="preserve">近年来，深度学习方法已应用于此任务，可以从文本扩展特征表示并提高性能。 Wang等。 [12]提出了具有多种分布式特征的卷积神经网络（CNN）用于生物医学事件提取。分布式功能不仅包含单词嵌入，还包含触发器类型，POS标签和主题表示。 Li等。 [13]利用基于依赖的词嵌入和并行的多池卷积神经网络来提取生物医学事件。这种方法通过合并由单词触发词和自变量划分的句子的多段来保留更多信息。 </w:t>
      </w:r>
      <w:proofErr w:type="spellStart"/>
      <w:r w:rsidRPr="00BD7A9E">
        <w:t>Björne</w:t>
      </w:r>
      <w:proofErr w:type="spellEnd"/>
      <w:r w:rsidRPr="00BD7A9E">
        <w:t>和</w:t>
      </w:r>
      <w:proofErr w:type="spellStart"/>
      <w:r w:rsidRPr="00BD7A9E">
        <w:t>Salakoski</w:t>
      </w:r>
      <w:proofErr w:type="spellEnd"/>
      <w:r w:rsidRPr="00BD7A9E">
        <w:t xml:space="preserve"> [14]将CNN集成到原始TEES中以提供更多功能，并用致密层替换了SVM分类器，这表明神经网络的加入显着提</w:t>
      </w:r>
      <w:r w:rsidRPr="00BD7A9E">
        <w:lastRenderedPageBreak/>
        <w:t>高了性能。 Li等。 [15]提出了一个框架，该框架使用具有注意机制的门控递归单元网络来提取生物群落和细菌事件。</w:t>
      </w:r>
    </w:p>
    <w:p w14:paraId="7DF646F1" w14:textId="5E35DA85" w:rsidR="00BD7A9E" w:rsidRDefault="00BD7A9E">
      <w:r w:rsidRPr="00BD7A9E">
        <w:t>但是，深度学习方法仍很少用于生物医学事件提取，这部分是由于特定于任务的事件结构的复杂性。 更深入的模型集中在事件提取的子任务上，例如事件触发检测[16-18]和关系分类[19-22]，与传统的浅层方法相比，这些模型中的大多数获得了卓越的性能。</w:t>
      </w:r>
    </w:p>
    <w:p w14:paraId="530CF7E8" w14:textId="114DC985" w:rsidR="00BD7A9E" w:rsidRDefault="00483DB0">
      <w:r w:rsidRPr="00483DB0">
        <w:t>尽管现有方法在生物医学事件提取中取得了成功，但它们通常受到两个局限。 首先，它们中的大多数严重依赖于手动设计的功能，并且通常需要外部NLP工具包中的复杂自然语言处理（NLP），而这些工具的推广性很差。 其次，这些方法以流水线方式组织任务并将其分为独立的子任务，这简化了问题，但忽略了子任务之间的交互，并使过程易于累积错误。</w:t>
      </w:r>
    </w:p>
    <w:p w14:paraId="7038ADD5" w14:textId="3F9F3C1D" w:rsidR="00483DB0" w:rsidRDefault="00483DB0">
      <w:r w:rsidRPr="00483DB0">
        <w:t>由于上述局限性，我们提出了一种基于深度神经网络的具有新型组合策略的生物医学事件提取方法。 我们的方法使用递归神经网络（RNN）和卷积网络（CNN）从原始文本中检测候选事件的触发和关系，然后组合策略（CS）通过解决优化问题从检测到的结果中构造事件。 所提出的方法利用了神经网络，它可以表示来自语义空间中词嵌入的特征[23]，并且消除了对特征工程的依赖。 CS集成了全局信息以优化惩罚，从而减轻了错误累积。</w:t>
      </w:r>
    </w:p>
    <w:p w14:paraId="5AD20438" w14:textId="441F3A01" w:rsidR="00483DB0" w:rsidRDefault="00483DB0">
      <w:r w:rsidRPr="00483DB0">
        <w:t>我们通过三种常见的生物医学事件提取任务评估了我们的方法：</w:t>
      </w:r>
      <w:proofErr w:type="spellStart"/>
      <w:r w:rsidRPr="00483DB0">
        <w:t>BioNLP</w:t>
      </w:r>
      <w:proofErr w:type="spellEnd"/>
      <w:r w:rsidRPr="00483DB0">
        <w:t xml:space="preserve"> Shared Task 2013（BioNLP-ST2013）的多级事件提取（MLEE）[24]，癌症遗传学（CG）和途径治疗（PC） [4]。 根据总的F1分数，我们的方法在所有这些任务上都优于最新方法。 实验结果证明了混合网络和CS的有效性和通用性。 另外，我们的方法只需要最小化任务特定的配置，而无需进行方法上的调整，这使得可以轻松地完成各种生物医学事件提取任务。</w:t>
      </w:r>
    </w:p>
    <w:p w14:paraId="1CD22F31" w14:textId="77777777" w:rsidR="00483DB0" w:rsidRDefault="00483DB0" w:rsidP="00483DB0">
      <w:r>
        <w:t>本文的贡献总结如下：</w:t>
      </w:r>
    </w:p>
    <w:p w14:paraId="46692159" w14:textId="77777777" w:rsidR="00483DB0" w:rsidRDefault="00483DB0" w:rsidP="00483DB0">
      <w:r>
        <w:t>•描述了首次尝试使用混合深度神经网络（CNN和RNN）来实现生物医学事件提取。</w:t>
      </w:r>
    </w:p>
    <w:p w14:paraId="4A31362A" w14:textId="77777777" w:rsidR="00483DB0" w:rsidRDefault="00483DB0" w:rsidP="00483DB0">
      <w:r>
        <w:t>•提出一种新颖的组合策略，以优化的方式集成检测到的触发器和关系。</w:t>
      </w:r>
    </w:p>
    <w:p w14:paraId="7D011652" w14:textId="25A0234D" w:rsidR="00483DB0" w:rsidRDefault="00483DB0" w:rsidP="00483DB0">
      <w:r>
        <w:t>•利用端到端学习，并避免依赖手动功能设计和外部NLP软件包。</w:t>
      </w:r>
    </w:p>
    <w:p w14:paraId="5108B5DE" w14:textId="77777777" w:rsidR="00483DB0" w:rsidRDefault="00483DB0" w:rsidP="00483DB0"/>
    <w:p w14:paraId="0B7715CC" w14:textId="6AF841FF" w:rsidR="00483DB0" w:rsidRDefault="00483DB0" w:rsidP="00483DB0">
      <w:r>
        <w:rPr>
          <w:rFonts w:hint="eastAsia"/>
        </w:rPr>
        <w:t>结果：</w:t>
      </w:r>
    </w:p>
    <w:p w14:paraId="13923497" w14:textId="171BF449" w:rsidR="00483DB0" w:rsidRDefault="00483DB0" w:rsidP="00483DB0">
      <w:r>
        <w:rPr>
          <w:rFonts w:hint="eastAsia"/>
        </w:rPr>
        <w:t>数据集：</w:t>
      </w:r>
    </w:p>
    <w:p w14:paraId="00F034FE" w14:textId="77777777" w:rsidR="00483DB0" w:rsidRDefault="00483DB0" w:rsidP="00483DB0">
      <w:r>
        <w:t>我们使用三个常用的注释数据集CG，PC和MLEE对我们的方法进行了培训和评估。 每个数据集最初分为三个部分：训练集，开发集和测试集，这些数据集的统计信息在表1中列出。CG数据涉及与癌症相关的事件的提取，包括分子基础，细胞组织和器官水平 效果。 PC数据的目标是与生物分子途径模型的发展有关的反应。 MLEE数据着重于从分子水平到器官系统水平的多个生物组织水平的事件。 所有这些数据集都为每个单词提供了实体标签，因此任务可以专注于针对事件提取。</w:t>
      </w:r>
    </w:p>
    <w:p w14:paraId="26774839" w14:textId="64B1809C" w:rsidR="00483DB0" w:rsidRDefault="00483DB0" w:rsidP="00483DB0">
      <w:r>
        <w:t>预处理很简单； 我们仅将每个文档拆分为句子，然后将其标记为单词序列，而不依赖于任何其他NLP工具包。</w:t>
      </w:r>
    </w:p>
    <w:p w14:paraId="089FD899" w14:textId="0CDB0836" w:rsidR="00483DB0" w:rsidRDefault="00483DB0" w:rsidP="00483DB0">
      <w:r>
        <w:rPr>
          <w:rFonts w:hint="eastAsia"/>
        </w:rPr>
        <w:t>训练：</w:t>
      </w:r>
    </w:p>
    <w:p w14:paraId="49D6B4E4" w14:textId="1E68BFD2" w:rsidR="00483DB0" w:rsidRDefault="00483DB0" w:rsidP="00483DB0">
      <w:r w:rsidRPr="00483DB0">
        <w:t>在开发集上调整的主要超参数设置如下：学习率= 0.007，TR和RC的正负类的类权重之比为5：1，重量衰减= 0.0002，批次大小= 16，α＝ 0.5，β＝ 0.25，γ＝ 0.125，阈值t ＝ -2.0并且阈值r ＝ -2.0。 我们的模型的其他超参数在附加文件1：表S11中列出。 我们在反S形衰减函数中设置k = 10。 激活功能为</w:t>
      </w:r>
      <w:proofErr w:type="spellStart"/>
      <w:r w:rsidRPr="00483DB0">
        <w:t>leakyrelu</w:t>
      </w:r>
      <w:proofErr w:type="spellEnd"/>
      <w:r w:rsidRPr="00483DB0">
        <w:t>。 我们使用的优化器是Adam。 我们使用了5个单一模型进行整体学习。 使用了一些技巧，包括使用预训练的Char级CNN和在大型外部语料库上嵌入单词[25]，对神经层进行Xavier初始化[26]，在LSTM中删除以及在EE中进行欠采样。 欠采样是为了保持每个句子中正/负事件样本的类平衡。</w:t>
      </w:r>
    </w:p>
    <w:p w14:paraId="33939968" w14:textId="6FC02D2B" w:rsidR="0049793A" w:rsidRDefault="0049793A" w:rsidP="00483DB0">
      <w:r w:rsidRPr="0049793A">
        <w:t>最终的模型是通过训练和开发的联合来训练的，每个任务设置100个纪元，CG语料库的损失曲线如图2所示。每个模块的损失都是单独计算的，并且它们的梯度同时传播到在每个批</w:t>
      </w:r>
      <w:r w:rsidRPr="0049793A">
        <w:lastRenderedPageBreak/>
        <w:t>次的末尾更新参数。 TR的损失首先下降，其次是RC的损失，而EE的损失变化最慢。这种现象是合理的，因为后两个损失依赖于前一个检测到的结果。黑色曲线是总损耗，总计来自TR，RC和EE的损耗。损失曲线的波动是由于句子长度的变化和批次之间事件数量的不同所致。该图表明，该模型在经过100个训练时期后已经收敛。在i7-7700 CPU上，对CG语料库（400个文档）进行100历时的培训大约需要12个小时。每个文档对单个模型的预测平均大约需要20 s，每个模块（TR，RC，EE和CS）的耗时比例分别为55.97％，20.75％，23.06％和0.23％。 。</w:t>
      </w:r>
    </w:p>
    <w:p w14:paraId="3A91CF52" w14:textId="7EBC50E2" w:rsidR="0049793A" w:rsidRDefault="0049793A" w:rsidP="00483DB0">
      <w:r>
        <w:rPr>
          <w:rFonts w:hint="eastAsia"/>
        </w:rPr>
        <w:t>表现：</w:t>
      </w:r>
    </w:p>
    <w:p w14:paraId="7D22D4FE" w14:textId="77777777" w:rsidR="0049793A" w:rsidRDefault="0049793A" w:rsidP="0049793A">
      <w:r>
        <w:t>我们使用标准召回率，准确性和F1分数作为评估指标。 仅当正确检测到触发器和参数时，该事件才被视为真阳性。 我们的评估遵循主要标准，即近似跨度匹配和近似递归匹配[27]。</w:t>
      </w:r>
    </w:p>
    <w:p w14:paraId="1977FC65" w14:textId="32E889A7" w:rsidR="0049793A" w:rsidRDefault="0049793A" w:rsidP="0049793A">
      <w:r>
        <w:t xml:space="preserve">表2显示了我们的方法和其他最新方法对测试集CG，PC和MLEE的总体性能。 </w:t>
      </w:r>
      <w:proofErr w:type="spellStart"/>
      <w:r>
        <w:t>RelAgent</w:t>
      </w:r>
      <w:proofErr w:type="spellEnd"/>
      <w:r>
        <w:t xml:space="preserve"> [6]是一个基于语言动机的基于规则的系统，用于提取生物医学事件。 NCBI [5]使用基于近似子图匹配的方法。 Zhou和Zhong [28]使用带有无注释语料库的半监督学习框架。 TEES [7，8]和</w:t>
      </w:r>
      <w:proofErr w:type="spellStart"/>
      <w:r>
        <w:t>EventMine</w:t>
      </w:r>
      <w:proofErr w:type="spellEnd"/>
      <w:r>
        <w:t xml:space="preserve"> [9]都是基于SVM的管道模型，具有手工设计的丰富功能。 TEES CNN [14]是TEES与CNN的升级版，使用混合了5个模型的集合，具有随机化的训练/开发集划分。 Wang等。 [12]和李等。 [13]都开发了基于卷积网络的方法。</w:t>
      </w:r>
    </w:p>
    <w:p w14:paraId="6271E039" w14:textId="77777777" w:rsidR="0049793A" w:rsidRDefault="0049793A" w:rsidP="0049793A">
      <w:r>
        <w:t>表2表明，我们的方法在所有三个数据集上均获得了最高的F1评分，其中CG分别为58.04％，PC为55.73％和MLEE为60.05％，这表明了混合网络和CS的有效性和泛化能力。我们对学生现有的最佳F1分数和我们提议的方法的F1分数进行了多次t检验[29]。结果表明，对于CG和MLEE任务，p值&lt;10-3的改进具有统计学意义，而PC任务的p值为0.062（详细统计信息在附加文件1中列出：表S7–S9）。精度大大高于所有数据集中的召回率，这可能是由于事件方案高度多样化且训练集不足所致。</w:t>
      </w:r>
    </w:p>
    <w:p w14:paraId="1DF5A223" w14:textId="212E0AFE" w:rsidR="0049793A" w:rsidRDefault="0049793A" w:rsidP="0049793A">
      <w:r>
        <w:t>表3显示了我们的方法和其他现有方法对CG的分组事件类别的详细性能。如表3所示，在所有事件类别中，我们的方法都优于其他方法。最大的改进是针对“修改”事件，这些事件高度依赖于由EE循环网络精确建模的全局上下文信息。通过纵向比较，与其他类别相比，Regulation，Planned Pro和Modification得分较低，这是由于它们的嵌套结构，即这些事件通常将其他事件作为参数，因此更难于正确检测。 CG，PC和MLEE的完整详细性能在附加文件1：表S4–S6中列出。</w:t>
      </w:r>
    </w:p>
    <w:p w14:paraId="24C1BC46" w14:textId="77777777" w:rsidR="0049793A" w:rsidRDefault="0049793A" w:rsidP="0049793A"/>
    <w:p w14:paraId="7E687987" w14:textId="37609290" w:rsidR="0049793A" w:rsidRDefault="0049793A" w:rsidP="0049793A">
      <w:r>
        <w:rPr>
          <w:rFonts w:hint="eastAsia"/>
        </w:rPr>
        <w:t>讨论：</w:t>
      </w:r>
    </w:p>
    <w:p w14:paraId="0EE35C95" w14:textId="7F3A8155" w:rsidR="0049793A" w:rsidRDefault="0049793A" w:rsidP="0049793A">
      <w:r>
        <w:rPr>
          <w:rFonts w:hint="eastAsia"/>
        </w:rPr>
        <w:t>替代比较：</w:t>
      </w:r>
    </w:p>
    <w:p w14:paraId="02808E65" w14:textId="2B2C17C8" w:rsidR="0049793A" w:rsidRDefault="0049793A" w:rsidP="0049793A">
      <w:r w:rsidRPr="0049793A">
        <w:t>在确定提出的方法之前，我们对提出的方法的几种变体进行了消融实验，以验证该方法各部分的有效性。 表4显示了消融研究的结果，该研究评估了集成学习，EE模块，CS算法，阈值设置和Char-CNN模块。 在这些实验中，对方法进行了培训，并在开发环境中进行了测试。 Single-model是在没有整体学习的情况下在单例中提出的方法。 单管道模型将TR，RC和EE分离为独立的网络，而无需共享参数。</w:t>
      </w:r>
    </w:p>
    <w:p w14:paraId="559914D8" w14:textId="397A5B5C" w:rsidR="0049793A" w:rsidRDefault="0049793A" w:rsidP="0049793A">
      <w:r w:rsidRPr="0049793A">
        <w:t>Combination-rule-single不使用EE模块，而是将CS替换为基于规则的方法，以仅将一个事件分配给每个检测到的事件触发器。 组合规则全部类似地用另一种基于规则的方法替换CS，以根据触发器和关系生成所有可能的组合。 EE概率直接使用从TR，RC和EE输出的概率来确定最终事件，而不是使用CS，即该方法仅通过每个网络模块的分类结果提取事件（将所有阈值设置为0） ）。 零阈值将阈值t和阈值r都重置为零，并使其他设置与建议的方法相同。 Without-</w:t>
      </w:r>
      <w:proofErr w:type="spellStart"/>
      <w:r w:rsidRPr="0049793A">
        <w:t>CharCNN</w:t>
      </w:r>
      <w:proofErr w:type="spellEnd"/>
      <w:r w:rsidRPr="0049793A">
        <w:t>从方法中删除Char-CNN模块。 Single-model-pipeline和Without-</w:t>
      </w:r>
      <w:proofErr w:type="spellStart"/>
      <w:r w:rsidRPr="0049793A">
        <w:t>CharCNN</w:t>
      </w:r>
      <w:proofErr w:type="spellEnd"/>
      <w:r w:rsidRPr="0049793A">
        <w:t>需要重新训练神经网络，而其他方法则不需要重新训练神经网络，因为它们仅更改后处理步骤中的设置。</w:t>
      </w:r>
    </w:p>
    <w:p w14:paraId="260FB6E9" w14:textId="770D637A" w:rsidR="0049793A" w:rsidRDefault="0049793A" w:rsidP="0049793A">
      <w:r w:rsidRPr="0049793A">
        <w:lastRenderedPageBreak/>
        <w:t>如表4所示，与其他替代变体相比，所提出的方法获得了更高的F1分数。单一模型的对比结果表明，集成学习显着提高了F1性能3％-5％，这主要是由于6％-8％的精度提高所致。由于训练中的随机性会导致不同跑步之间的差异（这也导致性能差异几个百分点，例如，CG上单模式多次跑步的F1得分的标准偏差为0.532％），因此合奏可以消除差异并获得更高的精度。单模型管道的F1分数明显下降了0.2％-1.6％，这表明参数共享是有效和高效的（单模型管道的训练比拟议的联合模型花费的时间更长）。与所提出的方法相比，组合规则单项的性能显着下降了3％-6％，特别是对于召回而言，因为该方法仅为每个检测到的触发器分配一个事件，并且通过其规则丢弃了与一个触发器相关的多个事件（例如例如，多个事件占CG语料库中事件总数的59.7％）。组合规则的召回率很高，甚至比我们提出的CG和PC任务方法的召回率还高，但是它的精度低得多，并且F1分数显着下降，因为它构造了太多不正确的事件。这两个烧蚀测试均表明EE模块是有价值的。删除EE模块会使EE概率的F1得分下降0.8％-2.6％，这表明CS通过优化惩罚值而发挥了积极作用。但是，由于该方法应用了更严格的提取，因此EE概率获得了更高的精度。仅当所有TR，RC和EE模块均返回阳性分类结果时，EE概率才分配事件，因此，所检测到的事件要比所提出的方法少（例如，CG开发集上的2225对2354）。此外，与零阈值的比较表明，为候选触发器和关系设置较低的阈值可以构造更多有效的事件并提高整体性能。最后一行的对比结果表明，Char-CNN模块通过提供词法功能对整体性能有所帮助。</w:t>
      </w:r>
    </w:p>
    <w:p w14:paraId="57AE321C" w14:textId="13E663D0" w:rsidR="001C0B02" w:rsidRDefault="001C0B02" w:rsidP="0049793A">
      <w:r w:rsidRPr="001C0B02">
        <w:t>误差与限制分析</w:t>
      </w:r>
      <w:r>
        <w:rPr>
          <w:rFonts w:hint="eastAsia"/>
        </w:rPr>
        <w:t>：</w:t>
      </w:r>
    </w:p>
    <w:p w14:paraId="088FD7B1" w14:textId="44F294FB" w:rsidR="001C0B02" w:rsidRDefault="001C0B02" w:rsidP="0049793A">
      <w:r w:rsidRPr="001C0B02">
        <w:t>我们将提取错误分为五种类型，包括错误的触发标签，错误的触发范围，错误的参数，冗余参数和其他错误。 表5中列出了预测阶段错误的详细统计信息。该统计信息表明，最常见的错误类型是错误的触发范围，大约占总错误的一半，这表明触发字的范围是最难以检测的信息。</w:t>
      </w:r>
    </w:p>
    <w:p w14:paraId="4C415A05" w14:textId="77777777" w:rsidR="001C0B02" w:rsidRDefault="001C0B02" w:rsidP="001C0B02">
      <w:r>
        <w:t>此外，与其他工作类似，在我们的方法中为简化起见，忽略了两种特殊情况。 首先，一些事件的触发词和自变量跨越一个以上的句子，但是我们的方法仅检测单个句子中的事件。 其次，几个单词与一个以上的事件触发标签相关联，但是我们的方法只能为它们分配一个触发标签。 忽略此类情况可能会导致性能降低，但是这些情况相对较少（大约2％-4.5％）并且效果有限（请参见附加文件1：表S10）。</w:t>
      </w:r>
    </w:p>
    <w:p w14:paraId="294A3435" w14:textId="3937D613" w:rsidR="001C0B02" w:rsidRDefault="001C0B02" w:rsidP="001C0B02">
      <w:r>
        <w:t>仍然存在一些局限，需要进一步改进。 我们的方法基于具有大量可学习参数的深度神经网络，但是具有数百个文档的训练集在某种程度上是不够的。 超参数的调整依赖于开发集中的网格搜索，这非常耗时。</w:t>
      </w:r>
    </w:p>
    <w:p w14:paraId="2E1C6355" w14:textId="121B88DA" w:rsidR="001C0B02" w:rsidRDefault="001C0B02" w:rsidP="001C0B02"/>
    <w:p w14:paraId="455DC5EC" w14:textId="18934AEE" w:rsidR="001C0B02" w:rsidRDefault="001C0B02" w:rsidP="001C0B02">
      <w:r>
        <w:rPr>
          <w:rFonts w:hint="eastAsia"/>
        </w:rPr>
        <w:t>结论：</w:t>
      </w:r>
    </w:p>
    <w:p w14:paraId="65AE560A" w14:textId="49987F98" w:rsidR="001C0B02" w:rsidRDefault="001C0B02" w:rsidP="001C0B02">
      <w:r w:rsidRPr="001C0B02">
        <w:t>在本文中，我们介绍了结合了提取生物医学事件的组合策略的深层神经网络。我们的方法利用深度神经网络来检测事件触发器并共同对关系进行分类，而深度神经网络可自动提取特征表示，而无需依赖手动特征工程。这种新颖的组合策略将不同阶段的输出进行整合，以优化的方式构造事件，从而减轻了错误的累积。评估结果表明，与现有方法相比，我们的方法具有最先进的性能，这表明我们的方法中的组合策略和深度神经网络是有效的。将来，我们计划通过半监督学习来扩展我们的方法，以解决培训语料库的不足。由于生物医学文本挖掘是一种以高层语义将大量文章转换为结构化信息的理想技术，因此我们认为所提出的方法具有促进研究人员在广阔的实际场景中进行事件提取的潜力。</w:t>
      </w:r>
    </w:p>
    <w:p w14:paraId="7A63B43F" w14:textId="40DD5D0D" w:rsidR="001C0B02" w:rsidRDefault="001C0B02" w:rsidP="001C0B02">
      <w:r>
        <w:rPr>
          <w:rFonts w:hint="eastAsia"/>
        </w:rPr>
        <w:t>方法：</w:t>
      </w:r>
    </w:p>
    <w:p w14:paraId="61FCE55C" w14:textId="77777777" w:rsidR="001C0B02" w:rsidRDefault="001C0B02" w:rsidP="001C0B02">
      <w:r>
        <w:t>我们将端到端有监督的深度学习应用于事件提取。 网络的整体架构如图3所示，由5个模块组成：字符级CNN（</w:t>
      </w:r>
      <w:proofErr w:type="spellStart"/>
      <w:r>
        <w:t>CharCNN</w:t>
      </w:r>
      <w:proofErr w:type="spellEnd"/>
      <w:r>
        <w:t>），双向LSTM（</w:t>
      </w:r>
      <w:proofErr w:type="spellStart"/>
      <w:r>
        <w:t>BiLSTM</w:t>
      </w:r>
      <w:proofErr w:type="spellEnd"/>
      <w:r>
        <w:t xml:space="preserve">），触发识别（TR），关系分类（RC）和 事件评估（EE）。 </w:t>
      </w:r>
      <w:proofErr w:type="spellStart"/>
      <w:r>
        <w:t>CharCNN</w:t>
      </w:r>
      <w:proofErr w:type="spellEnd"/>
      <w:r>
        <w:t>和</w:t>
      </w:r>
      <w:proofErr w:type="spellStart"/>
      <w:r>
        <w:t>BiLSTM</w:t>
      </w:r>
      <w:proofErr w:type="spellEnd"/>
      <w:r>
        <w:t>将句子编码为特征向量序列。 TR，RC和EE堆叠</w:t>
      </w:r>
      <w:r>
        <w:lastRenderedPageBreak/>
        <w:t>在</w:t>
      </w:r>
      <w:proofErr w:type="spellStart"/>
      <w:r>
        <w:t>BiLSTM</w:t>
      </w:r>
      <w:proofErr w:type="spellEnd"/>
      <w:r>
        <w:t>上，分别确定每个事件触发，关联和候选事件的类型和概率。 这些模块以联合方式同时进行培训，这可以受益于参数共享[19，21]。 最终，这些模块的输出被集成到CS中，这是一个后处理步骤，在预测阶段将其应用以生成最终事件。</w:t>
      </w:r>
    </w:p>
    <w:p w14:paraId="0747921E" w14:textId="6BBE7029" w:rsidR="001C0B02" w:rsidRDefault="001C0B02" w:rsidP="001C0B02">
      <w:r>
        <w:t>我们将参数赋值转换为关系分类任务，因此在本文的其余部分中，我们将术语关系而不是参数。</w:t>
      </w:r>
    </w:p>
    <w:p w14:paraId="03E1B807" w14:textId="754AB3A9" w:rsidR="001C0B02" w:rsidRDefault="001C0B02" w:rsidP="001C0B02">
      <w:pPr>
        <w:pStyle w:val="a3"/>
        <w:rPr>
          <w:rFonts w:ascii="TvlgvyMyriadPro" w:hAnsi="TvlgvyMyriadPro"/>
          <w:b/>
          <w:bCs/>
          <w:sz w:val="18"/>
          <w:szCs w:val="18"/>
        </w:rPr>
      </w:pPr>
      <w:r>
        <w:rPr>
          <w:rFonts w:ascii="TvlgvyMyriadPro" w:hAnsi="TvlgvyMyriadPro"/>
          <w:b/>
          <w:bCs/>
          <w:sz w:val="18"/>
          <w:szCs w:val="18"/>
        </w:rPr>
        <w:t xml:space="preserve">Character-level </w:t>
      </w:r>
      <w:proofErr w:type="spellStart"/>
      <w:r>
        <w:rPr>
          <w:rFonts w:ascii="TvlgvyMyriadPro" w:hAnsi="TvlgvyMyriadPro"/>
          <w:b/>
          <w:bCs/>
          <w:sz w:val="18"/>
          <w:szCs w:val="18"/>
        </w:rPr>
        <w:t>cNN</w:t>
      </w:r>
      <w:proofErr w:type="spellEnd"/>
      <w:r>
        <w:rPr>
          <w:rFonts w:ascii="TvlgvyMyriadPro" w:hAnsi="TvlgvyMyriadPro"/>
          <w:b/>
          <w:bCs/>
          <w:sz w:val="18"/>
          <w:szCs w:val="18"/>
        </w:rPr>
        <w:t xml:space="preserve"> </w:t>
      </w:r>
      <w:r>
        <w:rPr>
          <w:rFonts w:ascii="TvlgvyMyriadPro" w:hAnsi="TvlgvyMyriadPro" w:hint="eastAsia"/>
          <w:b/>
          <w:bCs/>
          <w:sz w:val="18"/>
          <w:szCs w:val="18"/>
        </w:rPr>
        <w:t>：</w:t>
      </w:r>
    </w:p>
    <w:p w14:paraId="4DDB48EA" w14:textId="5531E5AD" w:rsidR="001C0B02" w:rsidRDefault="001C0B02" w:rsidP="001C0B02">
      <w:pPr>
        <w:pStyle w:val="a3"/>
        <w:rPr>
          <w:rFonts w:hint="eastAsia"/>
        </w:rPr>
      </w:pPr>
      <w:r w:rsidRPr="001C0B02">
        <w:t>字符级CNN（</w:t>
      </w:r>
      <w:proofErr w:type="spellStart"/>
      <w:r w:rsidRPr="001C0B02">
        <w:t>CharCNN</w:t>
      </w:r>
      <w:proofErr w:type="spellEnd"/>
      <w:r w:rsidRPr="001C0B02">
        <w:t>）提取每个单词的字符级特征。 该模块的灵感来自先前的工作[21]，由于能够捕获形态学信息[30]，该工作已被证明是有效的。</w:t>
      </w:r>
    </w:p>
    <w:sectPr w:rsidR="001C0B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vlgvyMyriadPro">
    <w:altName w:val="Cambria"/>
    <w:panose1 w:val="020B0604020202020204"/>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6E5"/>
    <w:rsid w:val="001441D2"/>
    <w:rsid w:val="001C0B02"/>
    <w:rsid w:val="00483DB0"/>
    <w:rsid w:val="0049793A"/>
    <w:rsid w:val="00901B6D"/>
    <w:rsid w:val="00B446E5"/>
    <w:rsid w:val="00BD7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7D7A254"/>
  <w15:chartTrackingRefBased/>
  <w15:docId w15:val="{A3A43F68-7FDE-5648-AB15-80CBDB2F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0B02"/>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532800">
      <w:bodyDiv w:val="1"/>
      <w:marLeft w:val="0"/>
      <w:marRight w:val="0"/>
      <w:marTop w:val="0"/>
      <w:marBottom w:val="0"/>
      <w:divBdr>
        <w:top w:val="none" w:sz="0" w:space="0" w:color="auto"/>
        <w:left w:val="none" w:sz="0" w:space="0" w:color="auto"/>
        <w:bottom w:val="none" w:sz="0" w:space="0" w:color="auto"/>
        <w:right w:val="none" w:sz="0" w:space="0" w:color="auto"/>
      </w:divBdr>
      <w:divsChild>
        <w:div w:id="609774708">
          <w:marLeft w:val="0"/>
          <w:marRight w:val="0"/>
          <w:marTop w:val="0"/>
          <w:marBottom w:val="0"/>
          <w:divBdr>
            <w:top w:val="none" w:sz="0" w:space="0" w:color="auto"/>
            <w:left w:val="none" w:sz="0" w:space="0" w:color="auto"/>
            <w:bottom w:val="none" w:sz="0" w:space="0" w:color="auto"/>
            <w:right w:val="none" w:sz="0" w:space="0" w:color="auto"/>
          </w:divBdr>
          <w:divsChild>
            <w:div w:id="1234196283">
              <w:marLeft w:val="0"/>
              <w:marRight w:val="0"/>
              <w:marTop w:val="0"/>
              <w:marBottom w:val="0"/>
              <w:divBdr>
                <w:top w:val="none" w:sz="0" w:space="0" w:color="auto"/>
                <w:left w:val="none" w:sz="0" w:space="0" w:color="auto"/>
                <w:bottom w:val="none" w:sz="0" w:space="0" w:color="auto"/>
                <w:right w:val="none" w:sz="0" w:space="0" w:color="auto"/>
              </w:divBdr>
              <w:divsChild>
                <w:div w:id="37389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992</Words>
  <Characters>5660</Characters>
  <Application>Microsoft Office Word</Application>
  <DocSecurity>0</DocSecurity>
  <Lines>47</Lines>
  <Paragraphs>13</Paragraphs>
  <ScaleCrop>false</ScaleCrop>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1</cp:revision>
  <dcterms:created xsi:type="dcterms:W3CDTF">2021-02-28T09:35:00Z</dcterms:created>
  <dcterms:modified xsi:type="dcterms:W3CDTF">2021-02-28T12:28:00Z</dcterms:modified>
</cp:coreProperties>
</file>